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48" coordorigin="1134,-5" coordsize="439,767" path="m1189,-5l1135,50,1463,378,1134,707,1189,762,1572,378,1189,-5xe" filled="true" fillcolor="#ed1d24" stroked="false">
            <v:path arrowok="t"/>
            <v:fill type="solid"/>
            <w10:wrap type="none"/>
          </v:shape>
        </w:pict>
      </w:r>
      <w:r>
        <w:rPr>
          <w:rFonts w:ascii="Arial"/>
          <w:color w:val="542785"/>
          <w:w w:val="85"/>
          <w:sz w:val="48"/>
        </w:rPr>
        <w:t>TASMANIAN GOVERNMENT</w:t>
      </w:r>
    </w:p>
    <w:p>
      <w:pPr>
        <w:pStyle w:val="BodyText"/>
        <w:rPr>
          <w:rFonts w:ascii="Arial"/>
          <w:sz w:val="20"/>
        </w:rPr>
      </w:pPr>
    </w:p>
    <w:p>
      <w:pPr>
        <w:pStyle w:val="BodyText"/>
        <w:rPr>
          <w:rFonts w:ascii="Arial"/>
          <w:sz w:val="20"/>
        </w:rPr>
      </w:pPr>
    </w:p>
    <w:p>
      <w:pPr>
        <w:pStyle w:val="BodyText"/>
        <w:spacing w:before="6"/>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spacing w:before="3"/>
        <w:rPr>
          <w:rFonts w:ascii="Arial"/>
          <w:sz w:val="37"/>
        </w:rPr>
      </w:pPr>
    </w:p>
    <w:p>
      <w:pPr>
        <w:spacing w:before="0"/>
        <w:ind w:left="1700" w:right="0" w:firstLine="0"/>
        <w:jc w:val="left"/>
        <w:rPr>
          <w:rFonts w:ascii="Arial"/>
          <w:sz w:val="28"/>
        </w:rPr>
      </w:pPr>
      <w:r>
        <w:rPr/>
        <w:pict>
          <v:group style="position:absolute;margin-left:0pt;margin-top:-51.375061pt;width:595.3pt;height:38.35pt;mso-position-horizontal-relative:page;mso-position-vertical-relative:paragraph;z-index:1096" coordorigin="0,-1028" coordsize="11906,767">
            <v:rect style="position:absolute;left:0;top:-1028;width:11906;height:767" filled="true" fillcolor="#7ed3f7" stroked="false">
              <v:fill type="solid"/>
            </v:rect>
            <v:shapetype id="_x0000_t202" o:spt="202" coordsize="21600,21600" path="m,l,21600r21600,l21600,xe">
              <v:stroke joinstyle="miter"/>
              <v:path gradientshapeok="t" o:connecttype="rect"/>
            </v:shapetype>
            <v:shape style="position:absolute;left:0;top:-1028;width:11906;height:767" type="#_x0000_t202" filled="false" stroked="false">
              <v:textbox inset="0,0,0,0">
                <w:txbxContent>
                  <w:p>
                    <w:pPr>
                      <w:spacing w:before="214"/>
                      <w:ind w:left="1700" w:right="0" w:firstLine="0"/>
                      <w:jc w:val="left"/>
                      <w:rPr>
                        <w:rFonts w:ascii="Arial" w:hAnsi="Arial"/>
                        <w:sz w:val="28"/>
                      </w:rPr>
                    </w:pPr>
                    <w:r>
                      <w:rPr>
                        <w:rFonts w:ascii="Arial" w:hAnsi="Arial"/>
                        <w:w w:val="90"/>
                        <w:sz w:val="28"/>
                      </w:rPr>
                      <w:t>WorkSafe Tasmania – The safest tool to use</w:t>
                    </w:r>
                  </w:p>
                </w:txbxContent>
              </v:textbox>
              <w10:wrap type="none"/>
            </v:shape>
            <w10:wrap type="none"/>
          </v:group>
        </w:pict>
      </w:r>
      <w:r>
        <w:rPr>
          <w:rFonts w:ascii="Arial"/>
          <w:color w:val="7ED3F7"/>
          <w:w w:val="90"/>
          <w:sz w:val="28"/>
        </w:rPr>
        <w:t>Strategy:</w:t>
      </w:r>
    </w:p>
    <w:p>
      <w:pPr>
        <w:spacing w:before="38"/>
        <w:ind w:left="1700" w:right="0" w:firstLine="0"/>
        <w:jc w:val="left"/>
        <w:rPr>
          <w:rFonts w:ascii="Arial"/>
          <w:sz w:val="28"/>
        </w:rPr>
      </w:pPr>
      <w:r>
        <w:rPr>
          <w:rFonts w:ascii="Arial"/>
          <w:w w:val="90"/>
          <w:sz w:val="28"/>
        </w:rPr>
        <w:t>Awareness</w:t>
      </w:r>
    </w:p>
    <w:p>
      <w:pPr>
        <w:spacing w:before="168"/>
        <w:ind w:left="1700" w:right="0" w:firstLine="0"/>
        <w:jc w:val="left"/>
        <w:rPr>
          <w:rFonts w:ascii="Arial"/>
          <w:sz w:val="28"/>
        </w:rPr>
      </w:pPr>
      <w:r>
        <w:rPr>
          <w:rFonts w:ascii="Arial"/>
          <w:color w:val="7ED3F7"/>
          <w:w w:val="90"/>
          <w:sz w:val="28"/>
        </w:rPr>
        <w:t>Outcome:</w:t>
      </w:r>
    </w:p>
    <w:p>
      <w:pPr>
        <w:spacing w:line="268" w:lineRule="auto" w:before="38"/>
        <w:ind w:left="1700" w:right="185" w:firstLine="0"/>
        <w:jc w:val="left"/>
        <w:rPr>
          <w:rFonts w:ascii="Arial"/>
          <w:sz w:val="28"/>
        </w:rPr>
      </w:pPr>
      <w:r>
        <w:rPr>
          <w:rFonts w:ascii="Arial"/>
          <w:spacing w:val="-6"/>
          <w:w w:val="90"/>
          <w:sz w:val="28"/>
        </w:rPr>
        <w:t>(O1.1) </w:t>
      </w:r>
      <w:r>
        <w:rPr>
          <w:rFonts w:ascii="Arial"/>
          <w:w w:val="90"/>
          <w:sz w:val="28"/>
        </w:rPr>
        <w:t>Increased community </w:t>
      </w:r>
      <w:r>
        <w:rPr>
          <w:rFonts w:ascii="Arial"/>
          <w:w w:val="85"/>
          <w:sz w:val="28"/>
        </w:rPr>
        <w:t>awareness</w:t>
      </w:r>
      <w:r>
        <w:rPr>
          <w:rFonts w:ascii="Arial"/>
          <w:spacing w:val="-37"/>
          <w:w w:val="85"/>
          <w:sz w:val="28"/>
        </w:rPr>
        <w:t> </w:t>
      </w:r>
      <w:r>
        <w:rPr>
          <w:rFonts w:ascii="Arial"/>
          <w:w w:val="85"/>
          <w:sz w:val="28"/>
        </w:rPr>
        <w:t>of</w:t>
      </w:r>
      <w:r>
        <w:rPr>
          <w:rFonts w:ascii="Arial"/>
          <w:spacing w:val="-36"/>
          <w:w w:val="85"/>
          <w:sz w:val="28"/>
        </w:rPr>
        <w:t> </w:t>
      </w:r>
      <w:r>
        <w:rPr>
          <w:rFonts w:ascii="Arial"/>
          <w:w w:val="85"/>
          <w:sz w:val="28"/>
        </w:rPr>
        <w:t>the</w:t>
      </w:r>
      <w:r>
        <w:rPr>
          <w:rFonts w:ascii="Arial"/>
          <w:spacing w:val="-35"/>
          <w:w w:val="85"/>
          <w:sz w:val="28"/>
        </w:rPr>
        <w:t> </w:t>
      </w:r>
      <w:r>
        <w:rPr>
          <w:rFonts w:ascii="Arial"/>
          <w:w w:val="85"/>
          <w:sz w:val="28"/>
        </w:rPr>
        <w:t>risks</w:t>
      </w:r>
      <w:r>
        <w:rPr>
          <w:rFonts w:ascii="Arial"/>
          <w:spacing w:val="-36"/>
          <w:w w:val="85"/>
          <w:sz w:val="28"/>
        </w:rPr>
        <w:t> </w:t>
      </w:r>
      <w:r>
        <w:rPr>
          <w:rFonts w:ascii="Arial"/>
          <w:w w:val="85"/>
          <w:sz w:val="28"/>
        </w:rPr>
        <w:t>posed</w:t>
      </w:r>
      <w:r>
        <w:rPr>
          <w:rFonts w:ascii="Arial"/>
          <w:spacing w:val="-36"/>
          <w:w w:val="85"/>
          <w:sz w:val="28"/>
        </w:rPr>
        <w:t> </w:t>
      </w:r>
      <w:r>
        <w:rPr>
          <w:rFonts w:ascii="Arial"/>
          <w:w w:val="85"/>
          <w:sz w:val="28"/>
        </w:rPr>
        <w:t>by asbestos and its impact on the </w:t>
      </w:r>
      <w:r>
        <w:rPr>
          <w:rFonts w:ascii="Arial"/>
          <w:w w:val="90"/>
          <w:sz w:val="28"/>
        </w:rPr>
        <w:t>health</w:t>
      </w:r>
      <w:r>
        <w:rPr>
          <w:rFonts w:ascii="Arial"/>
          <w:spacing w:val="-19"/>
          <w:w w:val="90"/>
          <w:sz w:val="28"/>
        </w:rPr>
        <w:t> </w:t>
      </w:r>
      <w:r>
        <w:rPr>
          <w:rFonts w:ascii="Arial"/>
          <w:w w:val="90"/>
          <w:sz w:val="28"/>
        </w:rPr>
        <w:t>of</w:t>
      </w:r>
      <w:r>
        <w:rPr>
          <w:rFonts w:ascii="Arial"/>
          <w:spacing w:val="-18"/>
          <w:w w:val="90"/>
          <w:sz w:val="28"/>
        </w:rPr>
        <w:t> </w:t>
      </w:r>
      <w:r>
        <w:rPr>
          <w:rFonts w:ascii="Arial"/>
          <w:w w:val="90"/>
          <w:sz w:val="28"/>
        </w:rPr>
        <w:t>the</w:t>
      </w:r>
      <w:r>
        <w:rPr>
          <w:rFonts w:ascii="Arial"/>
          <w:spacing w:val="-18"/>
          <w:w w:val="90"/>
          <w:sz w:val="28"/>
        </w:rPr>
        <w:t> </w:t>
      </w:r>
      <w:r>
        <w:rPr>
          <w:rFonts w:ascii="Arial"/>
          <w:w w:val="90"/>
          <w:sz w:val="28"/>
        </w:rPr>
        <w:t>community.</w:t>
      </w:r>
    </w:p>
    <w:p>
      <w:pPr>
        <w:spacing w:before="128"/>
        <w:ind w:left="1700" w:right="0" w:firstLine="0"/>
        <w:jc w:val="left"/>
        <w:rPr>
          <w:rFonts w:ascii="Arial"/>
          <w:sz w:val="28"/>
        </w:rPr>
      </w:pPr>
      <w:r>
        <w:rPr>
          <w:rFonts w:ascii="Arial"/>
          <w:color w:val="7ED3F7"/>
          <w:w w:val="90"/>
          <w:sz w:val="28"/>
        </w:rPr>
        <w:t>Deliverable:</w:t>
      </w:r>
    </w:p>
    <w:p>
      <w:pPr>
        <w:spacing w:line="268" w:lineRule="auto" w:before="38"/>
        <w:ind w:left="1700" w:right="0" w:firstLine="0"/>
        <w:jc w:val="left"/>
        <w:rPr>
          <w:rFonts w:ascii="Arial" w:hAnsi="Arial"/>
          <w:sz w:val="28"/>
        </w:rPr>
      </w:pPr>
      <w:r>
        <w:rPr>
          <w:rFonts w:ascii="Arial" w:hAnsi="Arial"/>
          <w:w w:val="85"/>
          <w:sz w:val="28"/>
        </w:rPr>
        <w:t>(D1.2)</w:t>
      </w:r>
      <w:r>
        <w:rPr>
          <w:rFonts w:ascii="Arial" w:hAnsi="Arial"/>
          <w:spacing w:val="-37"/>
          <w:w w:val="85"/>
          <w:sz w:val="28"/>
        </w:rPr>
        <w:t> </w:t>
      </w:r>
      <w:r>
        <w:rPr>
          <w:rFonts w:ascii="Arial" w:hAnsi="Arial"/>
          <w:w w:val="85"/>
          <w:sz w:val="28"/>
        </w:rPr>
        <w:t>Develop</w:t>
      </w:r>
      <w:r>
        <w:rPr>
          <w:rFonts w:ascii="Arial" w:hAnsi="Arial"/>
          <w:spacing w:val="-37"/>
          <w:w w:val="85"/>
          <w:sz w:val="28"/>
        </w:rPr>
        <w:t> </w:t>
      </w:r>
      <w:r>
        <w:rPr>
          <w:rFonts w:ascii="Arial" w:hAnsi="Arial"/>
          <w:w w:val="85"/>
          <w:sz w:val="28"/>
        </w:rPr>
        <w:t>a</w:t>
      </w:r>
      <w:r>
        <w:rPr>
          <w:rFonts w:ascii="Arial" w:hAnsi="Arial"/>
          <w:spacing w:val="-36"/>
          <w:w w:val="85"/>
          <w:sz w:val="28"/>
        </w:rPr>
        <w:t> </w:t>
      </w:r>
      <w:r>
        <w:rPr>
          <w:rFonts w:ascii="Arial" w:hAnsi="Arial"/>
          <w:w w:val="85"/>
          <w:sz w:val="28"/>
        </w:rPr>
        <w:t>‘one-stop-shop’ </w:t>
      </w:r>
      <w:r>
        <w:rPr>
          <w:rFonts w:ascii="Arial" w:hAnsi="Arial"/>
          <w:w w:val="80"/>
          <w:sz w:val="28"/>
        </w:rPr>
        <w:t>of information on asbestos-related </w:t>
      </w:r>
      <w:r>
        <w:rPr>
          <w:rFonts w:ascii="Arial" w:hAnsi="Arial"/>
          <w:w w:val="85"/>
          <w:sz w:val="28"/>
        </w:rPr>
        <w:t>issues, integrating information, </w:t>
      </w:r>
      <w:r>
        <w:rPr>
          <w:rFonts w:ascii="Arial" w:hAnsi="Arial"/>
          <w:w w:val="90"/>
          <w:sz w:val="28"/>
        </w:rPr>
        <w:t>and</w:t>
      </w:r>
      <w:r>
        <w:rPr>
          <w:rFonts w:ascii="Arial" w:hAnsi="Arial"/>
          <w:spacing w:val="-44"/>
          <w:w w:val="90"/>
          <w:sz w:val="28"/>
        </w:rPr>
        <w:t> </w:t>
      </w:r>
      <w:r>
        <w:rPr>
          <w:rFonts w:ascii="Arial" w:hAnsi="Arial"/>
          <w:w w:val="90"/>
          <w:sz w:val="28"/>
        </w:rPr>
        <w:t>providing</w:t>
      </w:r>
      <w:r>
        <w:rPr>
          <w:rFonts w:ascii="Arial" w:hAnsi="Arial"/>
          <w:spacing w:val="-43"/>
          <w:w w:val="90"/>
          <w:sz w:val="28"/>
        </w:rPr>
        <w:t> </w:t>
      </w:r>
      <w:r>
        <w:rPr>
          <w:rFonts w:ascii="Arial" w:hAnsi="Arial"/>
          <w:w w:val="90"/>
          <w:sz w:val="28"/>
        </w:rPr>
        <w:t>referral</w:t>
      </w:r>
      <w:r>
        <w:rPr>
          <w:rFonts w:ascii="Arial" w:hAnsi="Arial"/>
          <w:spacing w:val="-43"/>
          <w:w w:val="90"/>
          <w:sz w:val="28"/>
        </w:rPr>
        <w:t> </w:t>
      </w:r>
      <w:r>
        <w:rPr>
          <w:rFonts w:ascii="Arial" w:hAnsi="Arial"/>
          <w:w w:val="90"/>
          <w:sz w:val="28"/>
        </w:rPr>
        <w:t>points</w:t>
      </w:r>
      <w:r>
        <w:rPr>
          <w:rFonts w:ascii="Arial" w:hAnsi="Arial"/>
          <w:spacing w:val="-43"/>
          <w:w w:val="90"/>
          <w:sz w:val="28"/>
        </w:rPr>
        <w:t> </w:t>
      </w:r>
      <w:r>
        <w:rPr>
          <w:rFonts w:ascii="Arial" w:hAnsi="Arial"/>
          <w:w w:val="90"/>
          <w:sz w:val="28"/>
        </w:rPr>
        <w:t>for members of the</w:t>
      </w:r>
      <w:r>
        <w:rPr>
          <w:rFonts w:ascii="Arial" w:hAnsi="Arial"/>
          <w:spacing w:val="-31"/>
          <w:w w:val="90"/>
          <w:sz w:val="28"/>
        </w:rPr>
        <w:t> </w:t>
      </w:r>
      <w:r>
        <w:rPr>
          <w:rFonts w:ascii="Arial" w:hAnsi="Arial"/>
          <w:w w:val="90"/>
          <w:sz w:val="28"/>
        </w:rPr>
        <w:t>public</w:t>
      </w:r>
    </w:p>
    <w:p>
      <w:pPr>
        <w:spacing w:line="268" w:lineRule="auto" w:before="128"/>
        <w:ind w:left="1700" w:right="1405" w:firstLine="0"/>
        <w:jc w:val="left"/>
        <w:rPr>
          <w:rFonts w:ascii="Arial"/>
          <w:sz w:val="28"/>
        </w:rPr>
      </w:pPr>
      <w:r>
        <w:rPr>
          <w:rFonts w:ascii="Arial"/>
          <w:color w:val="7ED3F7"/>
          <w:w w:val="85"/>
          <w:sz w:val="28"/>
        </w:rPr>
        <w:t>Location: </w:t>
      </w:r>
      <w:r>
        <w:rPr>
          <w:rFonts w:ascii="Arial"/>
          <w:w w:val="75"/>
          <w:sz w:val="28"/>
        </w:rPr>
        <w:t>TASMANIA</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4"/>
        <w:rPr>
          <w:rFonts w:ascii="Arial"/>
          <w:sz w:val="37"/>
        </w:rPr>
      </w:pPr>
    </w:p>
    <w:p>
      <w:pPr>
        <w:spacing w:before="0"/>
        <w:ind w:left="1015" w:right="0" w:firstLine="0"/>
        <w:jc w:val="left"/>
        <w:rPr>
          <w:rFonts w:ascii="Arial"/>
          <w:sz w:val="28"/>
        </w:rPr>
      </w:pPr>
      <w:r>
        <w:rPr>
          <w:rFonts w:ascii="Arial"/>
          <w:w w:val="90"/>
          <w:sz w:val="28"/>
        </w:rPr>
        <w:t>The issue</w:t>
      </w:r>
    </w:p>
    <w:p>
      <w:pPr>
        <w:pStyle w:val="BodyText"/>
        <w:spacing w:line="283" w:lineRule="auto" w:before="158"/>
        <w:ind w:left="1015"/>
      </w:pPr>
      <w:r>
        <w:rPr/>
        <w:t>WorkSafe </w:t>
      </w:r>
      <w:r>
        <w:rPr>
          <w:spacing w:val="-3"/>
        </w:rPr>
        <w:t>Tasmania </w:t>
      </w:r>
      <w:r>
        <w:rPr/>
        <w:t>recognised that workplace and DIY home renovators had limited awareness of asbestos in buildings</w:t>
      </w:r>
      <w:r>
        <w:rPr>
          <w:spacing w:val="-12"/>
        </w:rPr>
        <w:t> </w:t>
      </w:r>
      <w:r>
        <w:rPr/>
        <w:t>and</w:t>
      </w:r>
      <w:r>
        <w:rPr>
          <w:spacing w:val="-12"/>
        </w:rPr>
        <w:t> </w:t>
      </w:r>
      <w:r>
        <w:rPr/>
        <w:t>limited</w:t>
      </w:r>
      <w:r>
        <w:rPr>
          <w:spacing w:val="-12"/>
        </w:rPr>
        <w:t> </w:t>
      </w:r>
      <w:r>
        <w:rPr/>
        <w:t>direction</w:t>
      </w:r>
      <w:r>
        <w:rPr>
          <w:spacing w:val="-12"/>
        </w:rPr>
        <w:t> </w:t>
      </w:r>
      <w:r>
        <w:rPr/>
        <w:t>to</w:t>
      </w:r>
      <w:r>
        <w:rPr>
          <w:spacing w:val="-12"/>
        </w:rPr>
        <w:t> </w:t>
      </w:r>
      <w:r>
        <w:rPr/>
        <w:t>access</w:t>
      </w:r>
      <w:r>
        <w:rPr>
          <w:spacing w:val="-12"/>
        </w:rPr>
        <w:t> </w:t>
      </w:r>
      <w:r>
        <w:rPr/>
        <w:t>asbestos</w:t>
      </w:r>
      <w:r>
        <w:rPr>
          <w:spacing w:val="-12"/>
        </w:rPr>
        <w:t> </w:t>
      </w:r>
      <w:r>
        <w:rPr/>
        <w:t>safety and management</w:t>
      </w:r>
      <w:r>
        <w:rPr>
          <w:spacing w:val="-6"/>
        </w:rPr>
        <w:t> </w:t>
      </w:r>
      <w:r>
        <w:rPr/>
        <w:t>information.</w:t>
      </w:r>
    </w:p>
    <w:p>
      <w:pPr>
        <w:pStyle w:val="Heading1"/>
        <w:spacing w:before="142"/>
        <w:ind w:left="1015"/>
      </w:pPr>
      <w:r>
        <w:rPr>
          <w:w w:val="90"/>
        </w:rPr>
        <w:t>Action taken</w:t>
      </w:r>
    </w:p>
    <w:p>
      <w:pPr>
        <w:pStyle w:val="BodyText"/>
        <w:spacing w:line="283" w:lineRule="auto" w:before="159"/>
        <w:ind w:left="1015" w:right="104"/>
      </w:pPr>
      <w:r>
        <w:rPr/>
        <w:t>WorkCover </w:t>
      </w:r>
      <w:r>
        <w:rPr>
          <w:spacing w:val="-3"/>
        </w:rPr>
        <w:t>Tasmania, </w:t>
      </w:r>
      <w:r>
        <w:rPr/>
        <w:t>WorkSafe </w:t>
      </w:r>
      <w:r>
        <w:rPr>
          <w:spacing w:val="-3"/>
        </w:rPr>
        <w:t>Tasmania </w:t>
      </w:r>
      <w:r>
        <w:rPr/>
        <w:t>and ASEA collaborated</w:t>
      </w:r>
      <w:r>
        <w:rPr>
          <w:spacing w:val="-14"/>
        </w:rPr>
        <w:t> </w:t>
      </w:r>
      <w:r>
        <w:rPr/>
        <w:t>during</w:t>
      </w:r>
      <w:r>
        <w:rPr>
          <w:spacing w:val="-14"/>
        </w:rPr>
        <w:t> </w:t>
      </w:r>
      <w:r>
        <w:rPr>
          <w:spacing w:val="-7"/>
        </w:rPr>
        <w:t>2017</w:t>
      </w:r>
      <w:r>
        <w:rPr>
          <w:spacing w:val="-14"/>
        </w:rPr>
        <w:t> </w:t>
      </w:r>
      <w:r>
        <w:rPr/>
        <w:t>to</w:t>
      </w:r>
      <w:r>
        <w:rPr>
          <w:spacing w:val="-14"/>
        </w:rPr>
        <w:t> </w:t>
      </w:r>
      <w:r>
        <w:rPr/>
        <w:t>run</w:t>
      </w:r>
      <w:r>
        <w:rPr>
          <w:spacing w:val="-14"/>
        </w:rPr>
        <w:t> </w:t>
      </w:r>
      <w:r>
        <w:rPr/>
        <w:t>an</w:t>
      </w:r>
      <w:r>
        <w:rPr>
          <w:spacing w:val="-13"/>
        </w:rPr>
        <w:t> </w:t>
      </w:r>
      <w:r>
        <w:rPr/>
        <w:t>asbestos</w:t>
      </w:r>
      <w:r>
        <w:rPr>
          <w:spacing w:val="-14"/>
        </w:rPr>
        <w:t> </w:t>
      </w:r>
      <w:r>
        <w:rPr/>
        <w:t>awareness campaign. It included the message </w:t>
      </w:r>
      <w:r>
        <w:rPr>
          <w:spacing w:val="2"/>
        </w:rPr>
        <w:t>‘The </w:t>
      </w:r>
      <w:r>
        <w:rPr/>
        <w:t>safest tool to </w:t>
      </w:r>
      <w:r>
        <w:rPr>
          <w:spacing w:val="-3"/>
        </w:rPr>
        <w:t>use’. </w:t>
      </w:r>
      <w:r>
        <w:rPr/>
        <w:t>This referred to what tool should be used when asbestos</w:t>
      </w:r>
      <w:r>
        <w:rPr>
          <w:spacing w:val="-18"/>
        </w:rPr>
        <w:t> </w:t>
      </w:r>
      <w:r>
        <w:rPr/>
        <w:t>is</w:t>
      </w:r>
      <w:r>
        <w:rPr>
          <w:spacing w:val="-18"/>
        </w:rPr>
        <w:t> </w:t>
      </w:r>
      <w:r>
        <w:rPr/>
        <w:t>first</w:t>
      </w:r>
      <w:r>
        <w:rPr>
          <w:spacing w:val="-18"/>
        </w:rPr>
        <w:t> </w:t>
      </w:r>
      <w:r>
        <w:rPr/>
        <w:t>identified</w:t>
      </w:r>
      <w:r>
        <w:rPr>
          <w:spacing w:val="-18"/>
        </w:rPr>
        <w:t> </w:t>
      </w:r>
      <w:r>
        <w:rPr/>
        <w:t>–</w:t>
      </w:r>
      <w:r>
        <w:rPr>
          <w:spacing w:val="-18"/>
        </w:rPr>
        <w:t> </w:t>
      </w:r>
      <w:r>
        <w:rPr/>
        <w:t>‘not</w:t>
      </w:r>
      <w:r>
        <w:rPr>
          <w:spacing w:val="-17"/>
        </w:rPr>
        <w:t> </w:t>
      </w:r>
      <w:r>
        <w:rPr/>
        <w:t>a</w:t>
      </w:r>
      <w:r>
        <w:rPr>
          <w:spacing w:val="-18"/>
        </w:rPr>
        <w:t> </w:t>
      </w:r>
      <w:r>
        <w:rPr/>
        <w:t>drill,</w:t>
      </w:r>
      <w:r>
        <w:rPr>
          <w:spacing w:val="-18"/>
        </w:rPr>
        <w:t> </w:t>
      </w:r>
      <w:r>
        <w:rPr/>
        <w:t>not</w:t>
      </w:r>
      <w:r>
        <w:rPr>
          <w:spacing w:val="-18"/>
        </w:rPr>
        <w:t> </w:t>
      </w:r>
      <w:r>
        <w:rPr/>
        <w:t>a</w:t>
      </w:r>
      <w:r>
        <w:rPr>
          <w:spacing w:val="-18"/>
        </w:rPr>
        <w:t> </w:t>
      </w:r>
      <w:r>
        <w:rPr/>
        <w:t>paintbrush, but your smartphone’. The message and associated resources</w:t>
      </w:r>
      <w:r>
        <w:rPr>
          <w:spacing w:val="-10"/>
        </w:rPr>
        <w:t> </w:t>
      </w:r>
      <w:r>
        <w:rPr/>
        <w:t>connected</w:t>
      </w:r>
      <w:r>
        <w:rPr>
          <w:spacing w:val="-9"/>
        </w:rPr>
        <w:t> </w:t>
      </w:r>
      <w:r>
        <w:rPr/>
        <w:t>with</w:t>
      </w:r>
      <w:r>
        <w:rPr>
          <w:spacing w:val="-9"/>
        </w:rPr>
        <w:t> </w:t>
      </w:r>
      <w:r>
        <w:rPr/>
        <w:t>people</w:t>
      </w:r>
      <w:r>
        <w:rPr>
          <w:spacing w:val="-10"/>
        </w:rPr>
        <w:t> </w:t>
      </w:r>
      <w:r>
        <w:rPr/>
        <w:t>across</w:t>
      </w:r>
      <w:r>
        <w:rPr>
          <w:spacing w:val="-9"/>
        </w:rPr>
        <w:t> </w:t>
      </w:r>
      <w:r>
        <w:rPr>
          <w:spacing w:val="-3"/>
        </w:rPr>
        <w:t>Tasmania</w:t>
      </w:r>
      <w:r>
        <w:rPr>
          <w:spacing w:val="-9"/>
        </w:rPr>
        <w:t> </w:t>
      </w:r>
      <w:r>
        <w:rPr/>
        <w:t>and was</w:t>
      </w:r>
      <w:r>
        <w:rPr>
          <w:spacing w:val="-8"/>
        </w:rPr>
        <w:t> </w:t>
      </w:r>
      <w:r>
        <w:rPr/>
        <w:t>accessed</w:t>
      </w:r>
      <w:r>
        <w:rPr>
          <w:spacing w:val="-8"/>
        </w:rPr>
        <w:t> </w:t>
      </w:r>
      <w:r>
        <w:rPr/>
        <w:t>from</w:t>
      </w:r>
      <w:r>
        <w:rPr>
          <w:spacing w:val="-8"/>
        </w:rPr>
        <w:t> </w:t>
      </w:r>
      <w:r>
        <w:rPr/>
        <w:t>other</w:t>
      </w:r>
      <w:r>
        <w:rPr>
          <w:spacing w:val="-8"/>
        </w:rPr>
        <w:t> </w:t>
      </w:r>
      <w:r>
        <w:rPr/>
        <w:t>states</w:t>
      </w:r>
      <w:r>
        <w:rPr>
          <w:spacing w:val="-8"/>
        </w:rPr>
        <w:t> </w:t>
      </w:r>
      <w:r>
        <w:rPr/>
        <w:t>and</w:t>
      </w:r>
      <w:r>
        <w:rPr>
          <w:spacing w:val="-8"/>
        </w:rPr>
        <w:t> </w:t>
      </w:r>
      <w:r>
        <w:rPr/>
        <w:t>territories.</w:t>
      </w:r>
    </w:p>
    <w:p>
      <w:pPr>
        <w:pStyle w:val="Heading1"/>
        <w:spacing w:before="145"/>
        <w:ind w:left="1015"/>
      </w:pPr>
      <w:r>
        <w:rPr>
          <w:w w:val="90"/>
        </w:rPr>
        <w:t>Results</w:t>
      </w:r>
    </w:p>
    <w:p>
      <w:pPr>
        <w:pStyle w:val="BodyText"/>
        <w:spacing w:line="283" w:lineRule="auto" w:before="159"/>
        <w:ind w:left="1015" w:right="156"/>
      </w:pPr>
      <w:r>
        <w:rPr/>
        <w:t>The central message of this campaign was demonstrated to be effective in the recall of tradespeople and the action taken by the DIY sector showed benefits as the leading responder to Helpline inquiries and the targeted DIY web page was the second most popular web page in the campaign (after the main landing page) suggesting that there</w:t>
      </w:r>
    </w:p>
    <w:p>
      <w:pPr>
        <w:pStyle w:val="BodyText"/>
        <w:spacing w:line="283" w:lineRule="auto" w:before="5"/>
        <w:ind w:left="1015" w:right="327"/>
      </w:pPr>
      <w:r>
        <w:rPr/>
        <w:t>is</w:t>
      </w:r>
      <w:r>
        <w:rPr>
          <w:spacing w:val="-17"/>
        </w:rPr>
        <w:t> </w:t>
      </w:r>
      <w:r>
        <w:rPr/>
        <w:t>a</w:t>
      </w:r>
      <w:r>
        <w:rPr>
          <w:spacing w:val="-17"/>
        </w:rPr>
        <w:t> </w:t>
      </w:r>
      <w:r>
        <w:rPr/>
        <w:t>strong</w:t>
      </w:r>
      <w:r>
        <w:rPr>
          <w:spacing w:val="-16"/>
        </w:rPr>
        <w:t> </w:t>
      </w:r>
      <w:r>
        <w:rPr/>
        <w:t>appetite</w:t>
      </w:r>
      <w:r>
        <w:rPr>
          <w:spacing w:val="-17"/>
        </w:rPr>
        <w:t> </w:t>
      </w:r>
      <w:r>
        <w:rPr/>
        <w:t>for</w:t>
      </w:r>
      <w:r>
        <w:rPr>
          <w:spacing w:val="-16"/>
        </w:rPr>
        <w:t> </w:t>
      </w:r>
      <w:r>
        <w:rPr/>
        <w:t>greater</w:t>
      </w:r>
      <w:r>
        <w:rPr>
          <w:spacing w:val="-17"/>
        </w:rPr>
        <w:t> </w:t>
      </w:r>
      <w:r>
        <w:rPr/>
        <w:t>access</w:t>
      </w:r>
      <w:r>
        <w:rPr>
          <w:spacing w:val="-16"/>
        </w:rPr>
        <w:t> </w:t>
      </w:r>
      <w:r>
        <w:rPr/>
        <w:t>to</w:t>
      </w:r>
      <w:r>
        <w:rPr>
          <w:spacing w:val="-17"/>
        </w:rPr>
        <w:t> </w:t>
      </w:r>
      <w:r>
        <w:rPr/>
        <w:t>information with clear and simple</w:t>
      </w:r>
      <w:r>
        <w:rPr>
          <w:spacing w:val="-13"/>
        </w:rPr>
        <w:t> </w:t>
      </w:r>
      <w:r>
        <w:rPr/>
        <w:t>messages.</w:t>
      </w:r>
    </w:p>
    <w:p>
      <w:pPr>
        <w:pStyle w:val="Heading1"/>
        <w:spacing w:before="140"/>
        <w:ind w:left="1015"/>
      </w:pPr>
      <w:r>
        <w:rPr>
          <w:w w:val="90"/>
        </w:rPr>
        <w:t>Outcomes</w:t>
      </w:r>
    </w:p>
    <w:p>
      <w:pPr>
        <w:pStyle w:val="BodyText"/>
        <w:spacing w:line="283" w:lineRule="auto" w:before="160"/>
        <w:ind w:left="1015"/>
      </w:pPr>
      <w:r>
        <w:rPr/>
        <w:t>A campaign evaluation highlighted the success of running integrated simple messages about asbestos safety by combining workplace and DIY messages..</w:t>
      </w:r>
    </w:p>
    <w:p>
      <w:pPr>
        <w:pStyle w:val="BodyText"/>
        <w:spacing w:line="283" w:lineRule="auto" w:before="132"/>
        <w:ind w:left="1015" w:right="104"/>
      </w:pPr>
      <w:r>
        <w:rPr/>
        <w:t>The audience overview identified that the leading locations for people accessing the campaign’s webpages was Melbourne, with Sydney and Brisbane also</w:t>
      </w:r>
      <w:r>
        <w:rPr>
          <w:spacing w:val="-13"/>
        </w:rPr>
        <w:t> </w:t>
      </w:r>
      <w:r>
        <w:rPr/>
        <w:t>featuring</w:t>
      </w:r>
      <w:r>
        <w:rPr>
          <w:spacing w:val="-13"/>
        </w:rPr>
        <w:t> </w:t>
      </w:r>
      <w:r>
        <w:rPr/>
        <w:t>in</w:t>
      </w:r>
      <w:r>
        <w:rPr>
          <w:spacing w:val="-13"/>
        </w:rPr>
        <w:t> </w:t>
      </w:r>
      <w:r>
        <w:rPr/>
        <w:t>the</w:t>
      </w:r>
      <w:r>
        <w:rPr>
          <w:spacing w:val="-13"/>
        </w:rPr>
        <w:t> </w:t>
      </w:r>
      <w:r>
        <w:rPr/>
        <w:t>top</w:t>
      </w:r>
      <w:r>
        <w:rPr>
          <w:spacing w:val="-12"/>
        </w:rPr>
        <w:t> </w:t>
      </w:r>
      <w:r>
        <w:rPr/>
        <w:t>five</w:t>
      </w:r>
      <w:r>
        <w:rPr>
          <w:spacing w:val="-13"/>
        </w:rPr>
        <w:t> </w:t>
      </w:r>
      <w:r>
        <w:rPr/>
        <w:t>cities.</w:t>
      </w:r>
      <w:r>
        <w:rPr>
          <w:spacing w:val="-13"/>
        </w:rPr>
        <w:t> </w:t>
      </w:r>
      <w:r>
        <w:rPr/>
        <w:t>Evaluation</w:t>
      </w:r>
      <w:r>
        <w:rPr>
          <w:spacing w:val="-13"/>
        </w:rPr>
        <w:t> </w:t>
      </w:r>
      <w:r>
        <w:rPr/>
        <w:t>suggests it</w:t>
      </w:r>
      <w:r>
        <w:rPr>
          <w:spacing w:val="-16"/>
        </w:rPr>
        <w:t> </w:t>
      </w:r>
      <w:r>
        <w:rPr/>
        <w:t>may</w:t>
      </w:r>
      <w:r>
        <w:rPr>
          <w:spacing w:val="-15"/>
        </w:rPr>
        <w:t> </w:t>
      </w:r>
      <w:r>
        <w:rPr/>
        <w:t>be</w:t>
      </w:r>
      <w:r>
        <w:rPr>
          <w:spacing w:val="-15"/>
        </w:rPr>
        <w:t> </w:t>
      </w:r>
      <w:r>
        <w:rPr/>
        <w:t>more</w:t>
      </w:r>
      <w:r>
        <w:rPr>
          <w:spacing w:val="-15"/>
        </w:rPr>
        <w:t> </w:t>
      </w:r>
      <w:r>
        <w:rPr/>
        <w:t>effective</w:t>
      </w:r>
      <w:r>
        <w:rPr>
          <w:spacing w:val="-15"/>
        </w:rPr>
        <w:t> </w:t>
      </w:r>
      <w:r>
        <w:rPr/>
        <w:t>for</w:t>
      </w:r>
      <w:r>
        <w:rPr>
          <w:spacing w:val="-15"/>
        </w:rPr>
        <w:t> </w:t>
      </w:r>
      <w:r>
        <w:rPr/>
        <w:t>jurisdictions</w:t>
      </w:r>
      <w:r>
        <w:rPr>
          <w:spacing w:val="-15"/>
        </w:rPr>
        <w:t> </w:t>
      </w:r>
      <w:r>
        <w:rPr/>
        <w:t>to</w:t>
      </w:r>
      <w:r>
        <w:rPr>
          <w:spacing w:val="-15"/>
        </w:rPr>
        <w:t> </w:t>
      </w:r>
      <w:r>
        <w:rPr/>
        <w:t>collaborate on a single campaign creating a stronger awareness and more cost effective</w:t>
      </w:r>
      <w:r>
        <w:rPr>
          <w:spacing w:val="-11"/>
        </w:rPr>
        <w:t> </w:t>
      </w:r>
      <w:r>
        <w:rPr/>
        <w:t>campaign.</w:t>
      </w:r>
    </w:p>
    <w:p>
      <w:pPr>
        <w:pStyle w:val="Heading1"/>
        <w:spacing w:before="144"/>
        <w:ind w:left="1015"/>
      </w:pPr>
      <w:r>
        <w:rPr>
          <w:w w:val="90"/>
        </w:rPr>
        <w:t>Next step</w:t>
      </w:r>
    </w:p>
    <w:p>
      <w:pPr>
        <w:pStyle w:val="BodyText"/>
        <w:spacing w:line="283" w:lineRule="auto" w:before="159"/>
        <w:ind w:left="1015" w:right="61"/>
      </w:pPr>
      <w:r>
        <w:rPr/>
        <w:t>WorkSafe </w:t>
      </w:r>
      <w:r>
        <w:rPr>
          <w:spacing w:val="-3"/>
        </w:rPr>
        <w:t>Tasmania </w:t>
      </w:r>
      <w:r>
        <w:rPr/>
        <w:t>continues to work closely with licensed asbestos removalists and assessors in promoting</w:t>
      </w:r>
      <w:r>
        <w:rPr>
          <w:spacing w:val="-24"/>
        </w:rPr>
        <w:t> </w:t>
      </w:r>
      <w:r>
        <w:rPr/>
        <w:t>greater</w:t>
      </w:r>
      <w:r>
        <w:rPr>
          <w:spacing w:val="-23"/>
        </w:rPr>
        <w:t> </w:t>
      </w:r>
      <w:r>
        <w:rPr/>
        <w:t>awareness</w:t>
      </w:r>
      <w:r>
        <w:rPr>
          <w:spacing w:val="-24"/>
        </w:rPr>
        <w:t> </w:t>
      </w:r>
      <w:r>
        <w:rPr/>
        <w:t>of</w:t>
      </w:r>
      <w:r>
        <w:rPr>
          <w:spacing w:val="-23"/>
        </w:rPr>
        <w:t> </w:t>
      </w:r>
      <w:r>
        <w:rPr/>
        <w:t>asbestos</w:t>
      </w:r>
      <w:r>
        <w:rPr>
          <w:spacing w:val="-24"/>
        </w:rPr>
        <w:t> </w:t>
      </w:r>
      <w:r>
        <w:rPr/>
        <w:t>related</w:t>
      </w:r>
      <w:r>
        <w:rPr>
          <w:spacing w:val="-23"/>
        </w:rPr>
        <w:t> </w:t>
      </w:r>
      <w:r>
        <w:rPr/>
        <w:t>issues.</w:t>
      </w:r>
    </w:p>
    <w:p>
      <w:pPr>
        <w:pStyle w:val="Heading1"/>
        <w:spacing w:before="97"/>
      </w:pPr>
      <w:r>
        <w:rPr/>
        <w:br w:type="column"/>
      </w:r>
      <w:r>
        <w:rPr>
          <w:w w:val="90"/>
        </w:rPr>
        <w:t>More information</w:t>
      </w:r>
    </w:p>
    <w:p>
      <w:pPr>
        <w:pStyle w:val="BodyText"/>
        <w:spacing w:line="283" w:lineRule="auto" w:before="160"/>
        <w:ind w:left="1700"/>
      </w:pPr>
      <w:r>
        <w:rPr/>
        <w:t>https://</w:t>
      </w:r>
      <w:hyperlink r:id="rId5">
        <w:r>
          <w:rPr/>
          <w:t>www.worksafe.tas.gov.au/safety/safety_</w:t>
        </w:r>
      </w:hyperlink>
      <w:r>
        <w:rPr/>
        <w:t> subjects/subject/asbestos_safety</w:t>
      </w:r>
    </w:p>
    <w:p>
      <w:pPr>
        <w:pStyle w:val="BodyText"/>
        <w:spacing w:line="283" w:lineRule="auto" w:before="131"/>
        <w:ind w:left="1700"/>
      </w:pPr>
      <w:r>
        <w:rPr/>
        <w:t>Find a licensed asbestos removalist in Tasmania https://worksafe.tas.gov.au/licensing/asbestos_ licensing/asbestos</w:t>
      </w:r>
    </w:p>
    <w:p>
      <w:pPr>
        <w:pStyle w:val="BodyText"/>
        <w:spacing w:before="5"/>
        <w:rPr>
          <w:sz w:val="21"/>
        </w:rPr>
      </w:pPr>
    </w:p>
    <w:p>
      <w:pPr>
        <w:pStyle w:val="BodyText"/>
        <w:spacing w:line="283" w:lineRule="auto"/>
        <w:ind w:left="1700" w:right="458"/>
      </w:pPr>
      <w:r>
        <w:rPr/>
        <w:t>Asbestos Fact vs Myth (pdf, 244.3 KB) https://worksafe.tas.gov.au/__data/assets/pdf_ file/0004/376915/Facts_V_MythsWeb.pdf</w:t>
      </w:r>
    </w:p>
    <w:p>
      <w:pPr>
        <w:pStyle w:val="BodyText"/>
        <w:spacing w:before="6"/>
        <w:rPr>
          <w:sz w:val="21"/>
        </w:rPr>
      </w:pPr>
    </w:p>
    <w:p>
      <w:pPr>
        <w:pStyle w:val="BodyText"/>
        <w:spacing w:line="283" w:lineRule="auto"/>
        <w:ind w:left="1700" w:right="251"/>
      </w:pPr>
      <w:r>
        <w:rPr/>
        <w:t>Getting</w:t>
      </w:r>
      <w:r>
        <w:rPr>
          <w:spacing w:val="-20"/>
        </w:rPr>
        <w:t> </w:t>
      </w:r>
      <w:r>
        <w:rPr/>
        <w:t>a</w:t>
      </w:r>
      <w:r>
        <w:rPr>
          <w:spacing w:val="-19"/>
        </w:rPr>
        <w:t> </w:t>
      </w:r>
      <w:r>
        <w:rPr/>
        <w:t>Residential</w:t>
      </w:r>
      <w:r>
        <w:rPr>
          <w:spacing w:val="-19"/>
        </w:rPr>
        <w:t> </w:t>
      </w:r>
      <w:r>
        <w:rPr/>
        <w:t>Asbestos</w:t>
      </w:r>
      <w:r>
        <w:rPr>
          <w:spacing w:val="-20"/>
        </w:rPr>
        <w:t> </w:t>
      </w:r>
      <w:r>
        <w:rPr/>
        <w:t>Survey</w:t>
      </w:r>
      <w:r>
        <w:rPr>
          <w:spacing w:val="-19"/>
        </w:rPr>
        <w:t> </w:t>
      </w:r>
      <w:r>
        <w:rPr/>
        <w:t>(pdf,</w:t>
      </w:r>
      <w:r>
        <w:rPr>
          <w:spacing w:val="-19"/>
        </w:rPr>
        <w:t> </w:t>
      </w:r>
      <w:r>
        <w:rPr/>
        <w:t>354.7</w:t>
      </w:r>
      <w:r>
        <w:rPr>
          <w:spacing w:val="-19"/>
        </w:rPr>
        <w:t> </w:t>
      </w:r>
      <w:r>
        <w:rPr/>
        <w:t>KB) info sheet https://worksafe.tas.gov.au/__data/assets/pdf_ file/0004/376168/Asbestos_Surveyor.pdf</w:t>
      </w:r>
    </w:p>
    <w:p>
      <w:pPr>
        <w:pStyle w:val="BodyText"/>
        <w:spacing w:before="6"/>
        <w:rPr>
          <w:sz w:val="21"/>
        </w:rPr>
      </w:pPr>
    </w:p>
    <w:p>
      <w:pPr>
        <w:pStyle w:val="BodyText"/>
        <w:ind w:left="1700"/>
      </w:pPr>
      <w:r>
        <w:rPr/>
        <w:t>For full guidance, see these codes of practice:</w:t>
      </w:r>
    </w:p>
    <w:p>
      <w:pPr>
        <w:pStyle w:val="BodyText"/>
        <w:spacing w:line="283" w:lineRule="auto" w:before="171"/>
        <w:ind w:left="1984" w:right="651" w:hanging="284"/>
      </w:pPr>
      <w:r>
        <w:rPr>
          <w:position w:val="-3"/>
        </w:rPr>
        <w:drawing>
          <wp:inline distT="0" distB="0" distL="0" distR="0">
            <wp:extent cx="71856"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w w:val="105"/>
        </w:rPr>
        <w:t>How</w:t>
      </w:r>
      <w:r>
        <w:rPr>
          <w:spacing w:val="-7"/>
          <w:w w:val="105"/>
        </w:rPr>
        <w:t> </w:t>
      </w:r>
      <w:r>
        <w:rPr>
          <w:w w:val="105"/>
        </w:rPr>
        <w:t>to</w:t>
      </w:r>
      <w:r>
        <w:rPr>
          <w:spacing w:val="-6"/>
          <w:w w:val="105"/>
        </w:rPr>
        <w:t> </w:t>
      </w:r>
      <w:r>
        <w:rPr>
          <w:w w:val="105"/>
        </w:rPr>
        <w:t>Manage</w:t>
      </w:r>
      <w:r>
        <w:rPr>
          <w:spacing w:val="-6"/>
          <w:w w:val="105"/>
        </w:rPr>
        <w:t> </w:t>
      </w:r>
      <w:r>
        <w:rPr>
          <w:w w:val="105"/>
        </w:rPr>
        <w:t>and</w:t>
      </w:r>
      <w:r>
        <w:rPr>
          <w:spacing w:val="-6"/>
          <w:w w:val="105"/>
        </w:rPr>
        <w:t> </w:t>
      </w:r>
      <w:r>
        <w:rPr>
          <w:w w:val="105"/>
        </w:rPr>
        <w:t>Control</w:t>
      </w:r>
      <w:r>
        <w:rPr>
          <w:spacing w:val="-6"/>
          <w:w w:val="105"/>
        </w:rPr>
        <w:t> </w:t>
      </w:r>
      <w:r>
        <w:rPr>
          <w:w w:val="105"/>
        </w:rPr>
        <w:t>Asbestos</w:t>
      </w:r>
      <w:r>
        <w:rPr>
          <w:spacing w:val="-6"/>
          <w:w w:val="105"/>
        </w:rPr>
        <w:t> </w:t>
      </w:r>
      <w:r>
        <w:rPr>
          <w:w w:val="105"/>
        </w:rPr>
        <w:t>in the</w:t>
      </w:r>
      <w:r>
        <w:rPr>
          <w:spacing w:val="-4"/>
          <w:w w:val="105"/>
        </w:rPr>
        <w:t> </w:t>
      </w:r>
      <w:r>
        <w:rPr>
          <w:w w:val="105"/>
        </w:rPr>
        <w:t>Workplace</w:t>
      </w:r>
    </w:p>
    <w:p>
      <w:pPr>
        <w:pStyle w:val="BodyText"/>
        <w:spacing w:before="5"/>
        <w:rPr>
          <w:sz w:val="21"/>
        </w:rPr>
      </w:pPr>
    </w:p>
    <w:p>
      <w:pPr>
        <w:pStyle w:val="BodyText"/>
        <w:spacing w:line="283" w:lineRule="auto"/>
        <w:ind w:left="1984"/>
      </w:pPr>
      <w:r>
        <w:rPr/>
        <w:t>https://</w:t>
      </w:r>
      <w:hyperlink r:id="rId7">
        <w:r>
          <w:rPr/>
          <w:t>www.safeworkaustralia.gov.au/doc/</w:t>
        </w:r>
      </w:hyperlink>
      <w:r>
        <w:rPr/>
        <w:t> model-code-practice-how-manage-and-control- asbestos-workplace”</w:t>
      </w:r>
    </w:p>
    <w:p>
      <w:pPr>
        <w:pStyle w:val="BodyText"/>
        <w:spacing w:line="283" w:lineRule="auto" w:before="133"/>
        <w:ind w:left="1984" w:right="980" w:hanging="284"/>
      </w:pPr>
      <w:r>
        <w:rPr>
          <w:position w:val="-3"/>
        </w:rPr>
        <w:drawing>
          <wp:inline distT="0" distB="0" distL="0" distR="0">
            <wp:extent cx="71856" cy="111455"/>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How to Safely Remove Asbestos in the</w:t>
      </w:r>
      <w:r>
        <w:rPr>
          <w:spacing w:val="-1"/>
        </w:rPr>
        <w:t> </w:t>
      </w:r>
      <w:r>
        <w:rPr/>
        <w:t>Workplace</w:t>
      </w:r>
    </w:p>
    <w:p>
      <w:pPr>
        <w:pStyle w:val="BodyText"/>
        <w:spacing w:before="4"/>
        <w:rPr>
          <w:sz w:val="21"/>
        </w:rPr>
      </w:pPr>
    </w:p>
    <w:p>
      <w:pPr>
        <w:pStyle w:val="BodyText"/>
        <w:spacing w:line="283" w:lineRule="auto" w:before="1"/>
        <w:ind w:left="1984" w:right="413"/>
      </w:pPr>
      <w:r>
        <w:rPr/>
        <w:t>https://</w:t>
      </w:r>
      <w:hyperlink r:id="rId7">
        <w:r>
          <w:rPr/>
          <w:t>www.safeworkaustralia.gov.au/doc/</w:t>
        </w:r>
      </w:hyperlink>
      <w:r>
        <w:rPr/>
        <w:t> model-code-practice-how-safely-remove- asbestos</w:t>
      </w:r>
    </w:p>
    <w:p>
      <w:pPr>
        <w:pStyle w:val="BodyText"/>
        <w:spacing w:before="100"/>
        <w:ind w:left="433"/>
      </w:pPr>
      <w:r>
        <w:rPr/>
        <w:br w:type="column"/>
      </w:r>
      <w:r>
        <w:rPr/>
        <w:t>Figure 23: Asbestos: Fact vs Myth poster</w:t>
      </w:r>
    </w:p>
    <w:p>
      <w:pPr>
        <w:pStyle w:val="BodyText"/>
        <w:spacing w:before="8"/>
        <w:rPr>
          <w:sz w:val="9"/>
        </w:rPr>
      </w:pPr>
      <w:r>
        <w:rPr/>
        <w:drawing>
          <wp:anchor distT="0" distB="0" distL="0" distR="0" allowOverlap="1" layoutInCell="1" locked="0" behindDoc="0" simplePos="0" relativeHeight="0">
            <wp:simplePos x="0" y="0"/>
            <wp:positionH relativeFrom="page">
              <wp:posOffset>11484000</wp:posOffset>
            </wp:positionH>
            <wp:positionV relativeFrom="paragraph">
              <wp:posOffset>100175</wp:posOffset>
            </wp:positionV>
            <wp:extent cx="2568695" cy="3621024"/>
            <wp:effectExtent l="0" t="0" r="0" b="0"/>
            <wp:wrapTopAndBottom/>
            <wp:docPr id="5" name="image2.jpeg" descr=""/>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2568695" cy="3621024"/>
                    </a:xfrm>
                    <a:prstGeom prst="rect">
                      <a:avLst/>
                    </a:prstGeom>
                  </pic:spPr>
                </pic:pic>
              </a:graphicData>
            </a:graphic>
          </wp:anchor>
        </w:drawing>
      </w:r>
    </w:p>
    <w:p>
      <w:pPr>
        <w:pStyle w:val="BodyText"/>
        <w:spacing w:before="4"/>
        <w:rPr>
          <w:sz w:val="23"/>
        </w:rPr>
      </w:pPr>
    </w:p>
    <w:p>
      <w:pPr>
        <w:pStyle w:val="BodyText"/>
        <w:spacing w:line="283" w:lineRule="auto"/>
        <w:ind w:left="433" w:right="1780"/>
      </w:pPr>
      <w:r>
        <w:rPr/>
        <w:t>Figure 24: Asbestos campaign television advertisement 2017</w:t>
      </w:r>
    </w:p>
    <w:p>
      <w:pPr>
        <w:pStyle w:val="BodyText"/>
        <w:spacing w:before="7"/>
        <w:rPr>
          <w:sz w:val="9"/>
        </w:rPr>
      </w:pPr>
    </w:p>
    <w:p>
      <w:pPr>
        <w:pStyle w:val="BodyText"/>
        <w:ind w:left="433"/>
        <w:rPr>
          <w:sz w:val="20"/>
        </w:rPr>
      </w:pPr>
      <w:r>
        <w:rPr>
          <w:sz w:val="20"/>
        </w:rPr>
        <w:drawing>
          <wp:inline distT="0" distB="0" distL="0" distR="0">
            <wp:extent cx="2546531" cy="2307431"/>
            <wp:effectExtent l="0" t="0" r="0" b="0"/>
            <wp:docPr id="7" name="image3.jpeg" descr=""/>
            <wp:cNvGraphicFramePr>
              <a:graphicFrameLocks noChangeAspect="1"/>
            </wp:cNvGraphicFramePr>
            <a:graphic>
              <a:graphicData uri="http://schemas.openxmlformats.org/drawingml/2006/picture">
                <pic:pic>
                  <pic:nvPicPr>
                    <pic:cNvPr id="8" name="image3.jpeg"/>
                    <pic:cNvPicPr/>
                  </pic:nvPicPr>
                  <pic:blipFill>
                    <a:blip r:embed="rId9" cstate="print"/>
                    <a:stretch>
                      <a:fillRect/>
                    </a:stretch>
                  </pic:blipFill>
                  <pic:spPr>
                    <a:xfrm>
                      <a:off x="0" y="0"/>
                      <a:ext cx="2546531" cy="2307431"/>
                    </a:xfrm>
                    <a:prstGeom prst="rect">
                      <a:avLst/>
                    </a:prstGeom>
                  </pic:spPr>
                </pic:pic>
              </a:graphicData>
            </a:graphic>
          </wp:inline>
        </w:drawing>
      </w:r>
      <w:r>
        <w:rPr>
          <w:sz w:val="20"/>
        </w:rPr>
      </w:r>
    </w:p>
    <w:p>
      <w:pPr>
        <w:spacing w:after="0"/>
        <w:rPr>
          <w:sz w:val="20"/>
        </w:rPr>
        <w:sectPr>
          <w:type w:val="continuous"/>
          <w:pgSz w:w="23820" w:h="16840" w:orient="landscape"/>
          <w:pgMar w:top="1120" w:bottom="280" w:left="0" w:right="1020"/>
          <w:cols w:num="4" w:equalWidth="0">
            <w:col w:w="5125" w:space="40"/>
            <w:col w:w="5079" w:space="1661"/>
            <w:col w:w="5706" w:space="40"/>
            <w:col w:w="5149"/>
          </w:cols>
        </w:sectPr>
      </w:pPr>
    </w:p>
    <w:p>
      <w:pPr>
        <w:pStyle w:val="BodyText"/>
        <w:rPr>
          <w:sz w:val="25"/>
        </w:rPr>
      </w:pPr>
    </w:p>
    <w:p>
      <w:pPr>
        <w:tabs>
          <w:tab w:pos="22540" w:val="left" w:leader="none"/>
        </w:tabs>
        <w:spacing w:before="98"/>
        <w:ind w:left="1133" w:right="0" w:firstLine="0"/>
        <w:jc w:val="left"/>
        <w:rPr>
          <w:sz w:val="14"/>
        </w:rPr>
      </w:pPr>
      <w:r>
        <w:rPr>
          <w:sz w:val="14"/>
        </w:rPr>
        <w:t>38</w:t>
        <w:tab/>
        <w:t>39</w:t>
      </w:r>
    </w:p>
    <w:sectPr>
      <w:type w:val="continuous"/>
      <w:pgSz w:w="23820" w:h="16840" w:orient="landscape"/>
      <w:pgMar w:top="1120" w:bottom="280" w:left="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spacing w:before="38"/>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orksafe.tas.gov.au/safety/safety_" TargetMode="External"/><Relationship Id="rId6" Type="http://schemas.openxmlformats.org/officeDocument/2006/relationships/image" Target="media/image1.png"/><Relationship Id="rId7" Type="http://schemas.openxmlformats.org/officeDocument/2006/relationships/hyperlink" Target="http://www.safeworkaustralia.gov.au/doc/" TargetMode="External"/><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2018-12-12T23:00:41Z</dcterms:created>
  <dcterms:modified xsi:type="dcterms:W3CDTF">2018-12-12T23:00:41Z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