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1"/>
        <w:ind w:left="1711" w:right="0" w:firstLine="0"/>
        <w:jc w:val="left"/>
        <w:rPr>
          <w:rFonts w:ascii="Arial"/>
          <w:sz w:val="48"/>
        </w:rPr>
      </w:pPr>
      <w:r>
        <w:rPr/>
        <w:pict>
          <v:shape style="position:absolute;margin-left:56.693401pt;margin-top:-.22816pt;width:21.95pt;height:38.35pt;mso-position-horizontal-relative:page;mso-position-vertical-relative:paragraph;z-index:1072" coordorigin="1134,-5" coordsize="439,767" path="m1189,-5l1135,50,1463,378,1134,707,1189,762,1572,378,1189,-5xe" filled="true" fillcolor="#ed1d24" stroked="false">
            <v:path arrowok="t"/>
            <v:fill type="solid"/>
            <w10:wrap type="none"/>
          </v:shape>
        </w:pict>
      </w:r>
      <w:r>
        <w:rPr>
          <w:rFonts w:ascii="Arial"/>
          <w:color w:val="542785"/>
          <w:w w:val="80"/>
          <w:sz w:val="48"/>
        </w:rPr>
        <w:t>SOUTH AUSTRALIAN GOVERNMENT</w:t>
      </w:r>
    </w:p>
    <w:p>
      <w:pPr>
        <w:pStyle w:val="BodyText"/>
        <w:rPr>
          <w:rFonts w:ascii="Arial"/>
          <w:sz w:val="20"/>
        </w:rPr>
      </w:pPr>
    </w:p>
    <w:p>
      <w:pPr>
        <w:pStyle w:val="BodyText"/>
        <w:rPr>
          <w:rFonts w:ascii="Arial"/>
          <w:sz w:val="20"/>
        </w:rPr>
      </w:pPr>
    </w:p>
    <w:p>
      <w:pPr>
        <w:pStyle w:val="BodyText"/>
        <w:spacing w:before="6"/>
        <w:rPr>
          <w:rFonts w:ascii="Arial"/>
          <w:sz w:val="17"/>
        </w:rPr>
      </w:pPr>
    </w:p>
    <w:p>
      <w:pPr>
        <w:spacing w:after="0"/>
        <w:rPr>
          <w:rFonts w:ascii="Arial"/>
          <w:sz w:val="17"/>
        </w:rPr>
        <w:sectPr>
          <w:type w:val="continuous"/>
          <w:pgSz w:w="23820" w:h="16840" w:orient="landscape"/>
          <w:pgMar w:top="1120" w:bottom="280" w:left="0" w:right="1020"/>
        </w:sectPr>
      </w:pPr>
    </w:p>
    <w:p>
      <w:pPr>
        <w:pStyle w:val="BodyText"/>
        <w:rPr>
          <w:rFonts w:ascii="Arial"/>
          <w:sz w:val="32"/>
        </w:rPr>
      </w:pPr>
    </w:p>
    <w:p>
      <w:pPr>
        <w:pStyle w:val="BodyText"/>
        <w:rPr>
          <w:rFonts w:ascii="Arial"/>
          <w:sz w:val="32"/>
        </w:rPr>
      </w:pPr>
    </w:p>
    <w:p>
      <w:pPr>
        <w:pStyle w:val="BodyText"/>
        <w:spacing w:before="3"/>
        <w:rPr>
          <w:rFonts w:ascii="Arial"/>
          <w:sz w:val="37"/>
        </w:rPr>
      </w:pPr>
    </w:p>
    <w:p>
      <w:pPr>
        <w:spacing w:before="0"/>
        <w:ind w:left="1700" w:right="0" w:firstLine="0"/>
        <w:jc w:val="left"/>
        <w:rPr>
          <w:rFonts w:ascii="Arial"/>
          <w:sz w:val="28"/>
        </w:rPr>
      </w:pPr>
      <w:r>
        <w:rPr/>
        <w:pict>
          <v:group style="position:absolute;margin-left:0pt;margin-top:-51.375061pt;width:595.3pt;height:38.35pt;mso-position-horizontal-relative:page;mso-position-vertical-relative:paragraph;z-index:1120" coordorigin="0,-1028" coordsize="11906,767">
            <v:rect style="position:absolute;left:0;top:-1028;width:11906;height:767" filled="true" fillcolor="#00a1e0" stroked="false">
              <v:fill type="solid"/>
            </v:rect>
            <v:shapetype id="_x0000_t202" o:spt="202" coordsize="21600,21600" path="m,l,21600r21600,l21600,xe">
              <v:stroke joinstyle="miter"/>
              <v:path gradientshapeok="t" o:connecttype="rect"/>
            </v:shapetype>
            <v:shape style="position:absolute;left:0;top:-1028;width:11906;height:767" type="#_x0000_t202" filled="false" stroked="false">
              <v:textbox inset="0,0,0,0">
                <w:txbxContent>
                  <w:p>
                    <w:pPr>
                      <w:spacing w:line="223" w:lineRule="auto" w:before="83"/>
                      <w:ind w:left="1700" w:right="3948" w:firstLine="0"/>
                      <w:jc w:val="left"/>
                      <w:rPr>
                        <w:rFonts w:ascii="Arial" w:hAnsi="Arial"/>
                        <w:sz w:val="28"/>
                      </w:rPr>
                    </w:pPr>
                    <w:r>
                      <w:rPr>
                        <w:rFonts w:ascii="Arial" w:hAnsi="Arial"/>
                        <w:color w:val="FFFFFF"/>
                        <w:w w:val="85"/>
                        <w:sz w:val="28"/>
                      </w:rPr>
                      <w:t>SafeWork</w:t>
                    </w:r>
                    <w:r>
                      <w:rPr>
                        <w:rFonts w:ascii="Arial" w:hAnsi="Arial"/>
                        <w:color w:val="FFFFFF"/>
                        <w:spacing w:val="-40"/>
                        <w:w w:val="85"/>
                        <w:sz w:val="28"/>
                      </w:rPr>
                      <w:t> </w:t>
                    </w:r>
                    <w:r>
                      <w:rPr>
                        <w:rFonts w:ascii="Arial" w:hAnsi="Arial"/>
                        <w:color w:val="FFFFFF"/>
                        <w:spacing w:val="3"/>
                        <w:w w:val="85"/>
                        <w:sz w:val="28"/>
                      </w:rPr>
                      <w:t>SA</w:t>
                    </w:r>
                    <w:r>
                      <w:rPr>
                        <w:rFonts w:ascii="Arial" w:hAnsi="Arial"/>
                        <w:color w:val="FFFFFF"/>
                        <w:spacing w:val="-39"/>
                        <w:w w:val="85"/>
                        <w:sz w:val="28"/>
                      </w:rPr>
                      <w:t> </w:t>
                    </w:r>
                    <w:r>
                      <w:rPr>
                        <w:rFonts w:ascii="Arial" w:hAnsi="Arial"/>
                        <w:color w:val="FFFFFF"/>
                        <w:w w:val="85"/>
                        <w:sz w:val="28"/>
                      </w:rPr>
                      <w:t>–</w:t>
                    </w:r>
                    <w:r>
                      <w:rPr>
                        <w:rFonts w:ascii="Arial" w:hAnsi="Arial"/>
                        <w:color w:val="FFFFFF"/>
                        <w:spacing w:val="-39"/>
                        <w:w w:val="85"/>
                        <w:sz w:val="28"/>
                      </w:rPr>
                      <w:t> </w:t>
                    </w:r>
                    <w:r>
                      <w:rPr>
                        <w:rFonts w:ascii="Arial" w:hAnsi="Arial"/>
                        <w:color w:val="FFFFFF"/>
                        <w:w w:val="85"/>
                        <w:sz w:val="28"/>
                      </w:rPr>
                      <w:t>Safety</w:t>
                    </w:r>
                    <w:r>
                      <w:rPr>
                        <w:rFonts w:ascii="Arial" w:hAnsi="Arial"/>
                        <w:color w:val="FFFFFF"/>
                        <w:spacing w:val="-39"/>
                        <w:w w:val="85"/>
                        <w:sz w:val="28"/>
                      </w:rPr>
                      <w:t> </w:t>
                    </w:r>
                    <w:r>
                      <w:rPr>
                        <w:rFonts w:ascii="Arial" w:hAnsi="Arial"/>
                        <w:color w:val="FFFFFF"/>
                        <w:spacing w:val="2"/>
                        <w:w w:val="85"/>
                        <w:sz w:val="28"/>
                      </w:rPr>
                      <w:t>Alert</w:t>
                    </w:r>
                    <w:r>
                      <w:rPr>
                        <w:rFonts w:ascii="Arial" w:hAnsi="Arial"/>
                        <w:color w:val="FFFFFF"/>
                        <w:spacing w:val="-40"/>
                        <w:w w:val="85"/>
                        <w:sz w:val="28"/>
                      </w:rPr>
                      <w:t> </w:t>
                    </w:r>
                    <w:r>
                      <w:rPr>
                        <w:rFonts w:ascii="Arial" w:hAnsi="Arial"/>
                        <w:color w:val="FFFFFF"/>
                        <w:w w:val="85"/>
                        <w:sz w:val="28"/>
                      </w:rPr>
                      <w:t>for</w:t>
                    </w:r>
                    <w:r>
                      <w:rPr>
                        <w:rFonts w:ascii="Arial" w:hAnsi="Arial"/>
                        <w:color w:val="FFFFFF"/>
                        <w:spacing w:val="-39"/>
                        <w:w w:val="85"/>
                        <w:sz w:val="28"/>
                      </w:rPr>
                      <w:t> </w:t>
                    </w:r>
                    <w:r>
                      <w:rPr>
                        <w:rFonts w:ascii="Arial" w:hAnsi="Arial"/>
                        <w:color w:val="FFFFFF"/>
                        <w:w w:val="85"/>
                        <w:sz w:val="28"/>
                      </w:rPr>
                      <w:t>building</w:t>
                    </w:r>
                    <w:r>
                      <w:rPr>
                        <w:rFonts w:ascii="Arial" w:hAnsi="Arial"/>
                        <w:color w:val="FFFFFF"/>
                        <w:spacing w:val="-39"/>
                        <w:w w:val="85"/>
                        <w:sz w:val="28"/>
                      </w:rPr>
                      <w:t> </w:t>
                    </w:r>
                    <w:r>
                      <w:rPr>
                        <w:rFonts w:ascii="Arial" w:hAnsi="Arial"/>
                        <w:color w:val="FFFFFF"/>
                        <w:w w:val="85"/>
                        <w:sz w:val="28"/>
                      </w:rPr>
                      <w:t>owners</w:t>
                    </w:r>
                    <w:r>
                      <w:rPr>
                        <w:rFonts w:ascii="Arial" w:hAnsi="Arial"/>
                        <w:color w:val="FFFFFF"/>
                        <w:spacing w:val="-39"/>
                        <w:w w:val="85"/>
                        <w:sz w:val="28"/>
                      </w:rPr>
                      <w:t> </w:t>
                    </w:r>
                    <w:r>
                      <w:rPr>
                        <w:rFonts w:ascii="Arial" w:hAnsi="Arial"/>
                        <w:color w:val="FFFFFF"/>
                        <w:w w:val="85"/>
                        <w:sz w:val="28"/>
                      </w:rPr>
                      <w:t>and</w:t>
                    </w:r>
                    <w:r>
                      <w:rPr>
                        <w:rFonts w:ascii="Arial" w:hAnsi="Arial"/>
                        <w:color w:val="FFFFFF"/>
                        <w:spacing w:val="-39"/>
                        <w:w w:val="85"/>
                        <w:sz w:val="28"/>
                      </w:rPr>
                      <w:t> </w:t>
                    </w:r>
                    <w:r>
                      <w:rPr>
                        <w:rFonts w:ascii="Arial" w:hAnsi="Arial"/>
                        <w:color w:val="FFFFFF"/>
                        <w:w w:val="85"/>
                        <w:sz w:val="28"/>
                      </w:rPr>
                      <w:t>managers </w:t>
                    </w:r>
                    <w:r>
                      <w:rPr>
                        <w:rFonts w:ascii="Arial" w:hAnsi="Arial"/>
                        <w:color w:val="FFFFFF"/>
                        <w:w w:val="90"/>
                        <w:sz w:val="28"/>
                      </w:rPr>
                      <w:t>on millboard lining in heating</w:t>
                    </w:r>
                    <w:r>
                      <w:rPr>
                        <w:rFonts w:ascii="Arial" w:hAnsi="Arial"/>
                        <w:color w:val="FFFFFF"/>
                        <w:spacing w:val="-35"/>
                        <w:w w:val="90"/>
                        <w:sz w:val="28"/>
                      </w:rPr>
                      <w:t> </w:t>
                    </w:r>
                    <w:r>
                      <w:rPr>
                        <w:rFonts w:ascii="Arial" w:hAnsi="Arial"/>
                        <w:color w:val="FFFFFF"/>
                        <w:w w:val="90"/>
                        <w:sz w:val="28"/>
                      </w:rPr>
                      <w:t>ducts</w:t>
                    </w:r>
                  </w:p>
                </w:txbxContent>
              </v:textbox>
              <w10:wrap type="none"/>
            </v:shape>
            <w10:wrap type="none"/>
          </v:group>
        </w:pict>
      </w:r>
      <w:r>
        <w:rPr>
          <w:rFonts w:ascii="Arial"/>
          <w:color w:val="00A1E0"/>
          <w:w w:val="90"/>
          <w:sz w:val="28"/>
        </w:rPr>
        <w:t>Strategy:</w:t>
      </w:r>
    </w:p>
    <w:p>
      <w:pPr>
        <w:spacing w:before="38"/>
        <w:ind w:left="1700" w:right="0" w:firstLine="0"/>
        <w:jc w:val="left"/>
        <w:rPr>
          <w:rFonts w:ascii="Arial"/>
          <w:sz w:val="28"/>
        </w:rPr>
      </w:pPr>
      <w:r>
        <w:rPr>
          <w:rFonts w:ascii="Arial"/>
          <w:w w:val="90"/>
          <w:sz w:val="28"/>
        </w:rPr>
        <w:t>Identification</w:t>
      </w:r>
    </w:p>
    <w:p>
      <w:pPr>
        <w:spacing w:before="168"/>
        <w:ind w:left="1700" w:right="0" w:firstLine="0"/>
        <w:jc w:val="left"/>
        <w:rPr>
          <w:rFonts w:ascii="Arial"/>
          <w:sz w:val="28"/>
        </w:rPr>
      </w:pPr>
      <w:r>
        <w:rPr>
          <w:rFonts w:ascii="Arial"/>
          <w:color w:val="00A1E0"/>
          <w:w w:val="90"/>
          <w:sz w:val="28"/>
        </w:rPr>
        <w:t>Outcome:</w:t>
      </w:r>
    </w:p>
    <w:p>
      <w:pPr>
        <w:spacing w:line="268" w:lineRule="auto" w:before="38"/>
        <w:ind w:left="1700" w:right="296" w:firstLine="0"/>
        <w:jc w:val="left"/>
        <w:rPr>
          <w:rFonts w:ascii="Arial"/>
          <w:sz w:val="28"/>
        </w:rPr>
      </w:pPr>
      <w:r>
        <w:rPr>
          <w:rFonts w:ascii="Arial"/>
          <w:spacing w:val="3"/>
          <w:w w:val="80"/>
          <w:sz w:val="28"/>
        </w:rPr>
        <w:t>(O3.4) </w:t>
      </w:r>
      <w:r>
        <w:rPr>
          <w:rFonts w:ascii="Arial"/>
          <w:w w:val="80"/>
          <w:sz w:val="28"/>
        </w:rPr>
        <w:t>Estimated total presence </w:t>
      </w:r>
      <w:r>
        <w:rPr>
          <w:rFonts w:ascii="Arial"/>
          <w:w w:val="85"/>
          <w:sz w:val="28"/>
        </w:rPr>
        <w:t>of</w:t>
      </w:r>
      <w:r>
        <w:rPr>
          <w:rFonts w:ascii="Arial"/>
          <w:spacing w:val="-34"/>
          <w:w w:val="85"/>
          <w:sz w:val="28"/>
        </w:rPr>
        <w:t> </w:t>
      </w:r>
      <w:r>
        <w:rPr>
          <w:rFonts w:ascii="Arial"/>
          <w:w w:val="85"/>
          <w:sz w:val="28"/>
        </w:rPr>
        <w:t>ACMs</w:t>
      </w:r>
      <w:r>
        <w:rPr>
          <w:rFonts w:ascii="Arial"/>
          <w:spacing w:val="-34"/>
          <w:w w:val="85"/>
          <w:sz w:val="28"/>
        </w:rPr>
        <w:t> </w:t>
      </w:r>
      <w:r>
        <w:rPr>
          <w:rFonts w:ascii="Arial"/>
          <w:w w:val="85"/>
          <w:sz w:val="28"/>
        </w:rPr>
        <w:t>in</w:t>
      </w:r>
      <w:r>
        <w:rPr>
          <w:rFonts w:ascii="Arial"/>
          <w:spacing w:val="-34"/>
          <w:w w:val="85"/>
          <w:sz w:val="28"/>
        </w:rPr>
        <w:t> </w:t>
      </w:r>
      <w:r>
        <w:rPr>
          <w:rFonts w:ascii="Arial"/>
          <w:w w:val="85"/>
          <w:sz w:val="28"/>
        </w:rPr>
        <w:t>the</w:t>
      </w:r>
      <w:r>
        <w:rPr>
          <w:rFonts w:ascii="Arial"/>
          <w:spacing w:val="-34"/>
          <w:w w:val="85"/>
          <w:sz w:val="28"/>
        </w:rPr>
        <w:t> </w:t>
      </w:r>
      <w:r>
        <w:rPr>
          <w:rFonts w:ascii="Arial"/>
          <w:w w:val="85"/>
          <w:sz w:val="28"/>
        </w:rPr>
        <w:t>built</w:t>
      </w:r>
      <w:r>
        <w:rPr>
          <w:rFonts w:ascii="Arial"/>
          <w:spacing w:val="-34"/>
          <w:w w:val="85"/>
          <w:sz w:val="28"/>
        </w:rPr>
        <w:t> </w:t>
      </w:r>
      <w:r>
        <w:rPr>
          <w:rFonts w:ascii="Arial"/>
          <w:w w:val="85"/>
          <w:sz w:val="28"/>
        </w:rPr>
        <w:t>environment </w:t>
      </w:r>
      <w:r>
        <w:rPr>
          <w:rFonts w:ascii="Arial"/>
          <w:w w:val="90"/>
          <w:sz w:val="28"/>
        </w:rPr>
        <w:t>is</w:t>
      </w:r>
      <w:r>
        <w:rPr>
          <w:rFonts w:ascii="Arial"/>
          <w:spacing w:val="-3"/>
          <w:w w:val="90"/>
          <w:sz w:val="28"/>
        </w:rPr>
        <w:t> </w:t>
      </w:r>
      <w:r>
        <w:rPr>
          <w:rFonts w:ascii="Arial"/>
          <w:w w:val="90"/>
          <w:sz w:val="28"/>
        </w:rPr>
        <w:t>available.</w:t>
      </w:r>
    </w:p>
    <w:p>
      <w:pPr>
        <w:spacing w:before="129"/>
        <w:ind w:left="1700" w:right="0" w:firstLine="0"/>
        <w:jc w:val="left"/>
        <w:rPr>
          <w:rFonts w:ascii="Arial"/>
          <w:sz w:val="28"/>
        </w:rPr>
      </w:pPr>
      <w:r>
        <w:rPr>
          <w:rFonts w:ascii="Arial"/>
          <w:color w:val="00A1E0"/>
          <w:w w:val="90"/>
          <w:sz w:val="28"/>
        </w:rPr>
        <w:t>Deliverable:</w:t>
      </w:r>
    </w:p>
    <w:p>
      <w:pPr>
        <w:spacing w:line="268" w:lineRule="auto" w:before="38"/>
        <w:ind w:left="1700" w:right="-14" w:firstLine="0"/>
        <w:jc w:val="left"/>
        <w:rPr>
          <w:rFonts w:ascii="Arial"/>
          <w:sz w:val="28"/>
        </w:rPr>
      </w:pPr>
      <w:r>
        <w:rPr>
          <w:rFonts w:ascii="Arial"/>
          <w:spacing w:val="5"/>
          <w:w w:val="90"/>
          <w:sz w:val="28"/>
        </w:rPr>
        <w:t>(D3.2) </w:t>
      </w:r>
      <w:r>
        <w:rPr>
          <w:rFonts w:ascii="Arial"/>
          <w:w w:val="90"/>
          <w:sz w:val="28"/>
        </w:rPr>
        <w:t>Review building and </w:t>
      </w:r>
      <w:r>
        <w:rPr>
          <w:rFonts w:ascii="Arial"/>
          <w:w w:val="85"/>
          <w:sz w:val="28"/>
        </w:rPr>
        <w:t>infrastructure</w:t>
      </w:r>
      <w:r>
        <w:rPr>
          <w:rFonts w:ascii="Arial"/>
          <w:spacing w:val="-41"/>
          <w:w w:val="85"/>
          <w:sz w:val="28"/>
        </w:rPr>
        <w:t> </w:t>
      </w:r>
      <w:r>
        <w:rPr>
          <w:rFonts w:ascii="Arial"/>
          <w:w w:val="85"/>
          <w:sz w:val="28"/>
        </w:rPr>
        <w:t>data</w:t>
      </w:r>
      <w:r>
        <w:rPr>
          <w:rFonts w:ascii="Arial"/>
          <w:spacing w:val="-41"/>
          <w:w w:val="85"/>
          <w:sz w:val="28"/>
        </w:rPr>
        <w:t> </w:t>
      </w:r>
      <w:r>
        <w:rPr>
          <w:rFonts w:ascii="Arial"/>
          <w:w w:val="85"/>
          <w:sz w:val="28"/>
        </w:rPr>
        <w:t>to</w:t>
      </w:r>
      <w:r>
        <w:rPr>
          <w:rFonts w:ascii="Arial"/>
          <w:spacing w:val="-41"/>
          <w:w w:val="85"/>
          <w:sz w:val="28"/>
        </w:rPr>
        <w:t> </w:t>
      </w:r>
      <w:r>
        <w:rPr>
          <w:rFonts w:ascii="Arial"/>
          <w:w w:val="85"/>
          <w:sz w:val="28"/>
        </w:rPr>
        <w:t>estimate</w:t>
      </w:r>
      <w:r>
        <w:rPr>
          <w:rFonts w:ascii="Arial"/>
          <w:spacing w:val="-41"/>
          <w:w w:val="85"/>
          <w:sz w:val="28"/>
        </w:rPr>
        <w:t> </w:t>
      </w:r>
      <w:r>
        <w:rPr>
          <w:rFonts w:ascii="Arial"/>
          <w:w w:val="85"/>
          <w:sz w:val="28"/>
        </w:rPr>
        <w:t>likely </w:t>
      </w:r>
      <w:r>
        <w:rPr>
          <w:rFonts w:ascii="Arial"/>
          <w:w w:val="90"/>
          <w:sz w:val="28"/>
        </w:rPr>
        <w:t>presence of</w:t>
      </w:r>
      <w:r>
        <w:rPr>
          <w:rFonts w:ascii="Arial"/>
          <w:spacing w:val="-14"/>
          <w:w w:val="90"/>
          <w:sz w:val="28"/>
        </w:rPr>
        <w:t> </w:t>
      </w:r>
      <w:r>
        <w:rPr>
          <w:rFonts w:ascii="Arial"/>
          <w:w w:val="90"/>
          <w:sz w:val="28"/>
        </w:rPr>
        <w:t>ACMs</w:t>
      </w:r>
    </w:p>
    <w:p>
      <w:pPr>
        <w:spacing w:line="268" w:lineRule="auto" w:before="128"/>
        <w:ind w:left="1700" w:right="2046" w:firstLine="0"/>
        <w:jc w:val="left"/>
        <w:rPr>
          <w:rFonts w:ascii="Arial"/>
          <w:sz w:val="28"/>
        </w:rPr>
      </w:pPr>
      <w:r>
        <w:rPr>
          <w:rFonts w:ascii="Arial"/>
          <w:color w:val="00A1E0"/>
          <w:w w:val="90"/>
          <w:sz w:val="28"/>
        </w:rPr>
        <w:t>Location: </w:t>
      </w:r>
      <w:r>
        <w:rPr>
          <w:rFonts w:ascii="Arial"/>
          <w:w w:val="80"/>
          <w:sz w:val="28"/>
        </w:rPr>
        <w:t>South Australia</w:t>
      </w:r>
    </w:p>
    <w:p>
      <w:pPr>
        <w:pStyle w:val="BodyText"/>
        <w:rPr>
          <w:rFonts w:ascii="Arial"/>
          <w:sz w:val="32"/>
        </w:rPr>
      </w:pPr>
      <w:r>
        <w:rPr/>
        <w:br w:type="column"/>
      </w:r>
      <w:r>
        <w:rPr>
          <w:rFonts w:ascii="Arial"/>
          <w:sz w:val="32"/>
        </w:rPr>
      </w:r>
    </w:p>
    <w:p>
      <w:pPr>
        <w:pStyle w:val="BodyText"/>
        <w:rPr>
          <w:rFonts w:ascii="Arial"/>
          <w:sz w:val="32"/>
        </w:rPr>
      </w:pPr>
    </w:p>
    <w:p>
      <w:pPr>
        <w:pStyle w:val="BodyText"/>
        <w:spacing w:before="3"/>
        <w:rPr>
          <w:rFonts w:ascii="Arial"/>
          <w:sz w:val="37"/>
        </w:rPr>
      </w:pPr>
    </w:p>
    <w:p>
      <w:pPr>
        <w:spacing w:before="1"/>
        <w:ind w:left="854" w:right="0" w:firstLine="0"/>
        <w:jc w:val="left"/>
        <w:rPr>
          <w:rFonts w:ascii="Arial"/>
          <w:sz w:val="28"/>
        </w:rPr>
      </w:pPr>
      <w:r>
        <w:rPr>
          <w:rFonts w:ascii="Arial"/>
          <w:w w:val="90"/>
          <w:sz w:val="28"/>
        </w:rPr>
        <w:t>The issue</w:t>
      </w:r>
    </w:p>
    <w:p>
      <w:pPr>
        <w:pStyle w:val="BodyText"/>
        <w:spacing w:line="283" w:lineRule="auto" w:before="158"/>
        <w:ind w:left="854" w:right="38"/>
      </w:pPr>
      <w:r>
        <w:rPr/>
        <w:t>In late </w:t>
      </w:r>
      <w:r>
        <w:rPr>
          <w:spacing w:val="-5"/>
        </w:rPr>
        <w:t>2016, </w:t>
      </w:r>
      <w:r>
        <w:rPr/>
        <w:t>SafeWork SA was alerted to potential asbestos-containing millboard lining in heater banks in buildings throughout Adelaide by the Air-Conditioning and</w:t>
      </w:r>
      <w:r>
        <w:rPr>
          <w:spacing w:val="-11"/>
        </w:rPr>
        <w:t> </w:t>
      </w:r>
      <w:r>
        <w:rPr/>
        <w:t>Mechanical</w:t>
      </w:r>
      <w:r>
        <w:rPr>
          <w:spacing w:val="-11"/>
        </w:rPr>
        <w:t> </w:t>
      </w:r>
      <w:r>
        <w:rPr/>
        <w:t>Contractors</w:t>
      </w:r>
      <w:r>
        <w:rPr>
          <w:spacing w:val="-10"/>
        </w:rPr>
        <w:t> </w:t>
      </w:r>
      <w:r>
        <w:rPr/>
        <w:t>Association</w:t>
      </w:r>
      <w:r>
        <w:rPr>
          <w:spacing w:val="-11"/>
        </w:rPr>
        <w:t> </w:t>
      </w:r>
      <w:r>
        <w:rPr/>
        <w:t>of</w:t>
      </w:r>
      <w:r>
        <w:rPr>
          <w:spacing w:val="-11"/>
        </w:rPr>
        <w:t> </w:t>
      </w:r>
      <w:r>
        <w:rPr/>
        <w:t>SA.</w:t>
      </w:r>
      <w:r>
        <w:rPr>
          <w:spacing w:val="-10"/>
        </w:rPr>
        <w:t> </w:t>
      </w:r>
      <w:r>
        <w:rPr/>
        <w:t>As</w:t>
      </w:r>
      <w:r>
        <w:rPr>
          <w:spacing w:val="-11"/>
        </w:rPr>
        <w:t> </w:t>
      </w:r>
      <w:r>
        <w:rPr/>
        <w:t>much of the installation work took place in the </w:t>
      </w:r>
      <w:r>
        <w:rPr>
          <w:spacing w:val="-5"/>
        </w:rPr>
        <w:t>1970s </w:t>
      </w:r>
      <w:r>
        <w:rPr/>
        <w:t>and 1980s,</w:t>
      </w:r>
      <w:r>
        <w:rPr>
          <w:spacing w:val="-13"/>
        </w:rPr>
        <w:t> </w:t>
      </w:r>
      <w:r>
        <w:rPr/>
        <w:t>not</w:t>
      </w:r>
      <w:r>
        <w:rPr>
          <w:spacing w:val="-13"/>
        </w:rPr>
        <w:t> </w:t>
      </w:r>
      <w:r>
        <w:rPr/>
        <w:t>all</w:t>
      </w:r>
      <w:r>
        <w:rPr>
          <w:spacing w:val="-12"/>
        </w:rPr>
        <w:t> </w:t>
      </w:r>
      <w:r>
        <w:rPr/>
        <w:t>building</w:t>
      </w:r>
      <w:r>
        <w:rPr>
          <w:spacing w:val="-13"/>
        </w:rPr>
        <w:t> </w:t>
      </w:r>
      <w:r>
        <w:rPr/>
        <w:t>owners</w:t>
      </w:r>
      <w:r>
        <w:rPr>
          <w:spacing w:val="-13"/>
        </w:rPr>
        <w:t> </w:t>
      </w:r>
      <w:r>
        <w:rPr/>
        <w:t>were</w:t>
      </w:r>
      <w:r>
        <w:rPr>
          <w:spacing w:val="-12"/>
        </w:rPr>
        <w:t> </w:t>
      </w:r>
      <w:r>
        <w:rPr/>
        <w:t>aware</w:t>
      </w:r>
      <w:r>
        <w:rPr>
          <w:spacing w:val="-13"/>
        </w:rPr>
        <w:t> </w:t>
      </w:r>
      <w:r>
        <w:rPr/>
        <w:t>of</w:t>
      </w:r>
      <w:r>
        <w:rPr>
          <w:spacing w:val="-12"/>
        </w:rPr>
        <w:t> </w:t>
      </w:r>
      <w:r>
        <w:rPr/>
        <w:t>it</w:t>
      </w:r>
      <w:r>
        <w:rPr>
          <w:spacing w:val="-13"/>
        </w:rPr>
        <w:t> </w:t>
      </w:r>
      <w:r>
        <w:rPr/>
        <w:t>and</w:t>
      </w:r>
      <w:r>
        <w:rPr>
          <w:spacing w:val="-13"/>
        </w:rPr>
        <w:t> </w:t>
      </w:r>
      <w:r>
        <w:rPr/>
        <w:t>may not</w:t>
      </w:r>
      <w:r>
        <w:rPr>
          <w:spacing w:val="-6"/>
        </w:rPr>
        <w:t> </w:t>
      </w:r>
      <w:r>
        <w:rPr/>
        <w:t>have</w:t>
      </w:r>
      <w:r>
        <w:rPr>
          <w:spacing w:val="-6"/>
        </w:rPr>
        <w:t> </w:t>
      </w:r>
      <w:r>
        <w:rPr/>
        <w:t>included</w:t>
      </w:r>
      <w:r>
        <w:rPr>
          <w:spacing w:val="-6"/>
        </w:rPr>
        <w:t> </w:t>
      </w:r>
      <w:r>
        <w:rPr/>
        <w:t>it</w:t>
      </w:r>
      <w:r>
        <w:rPr>
          <w:spacing w:val="-6"/>
        </w:rPr>
        <w:t> </w:t>
      </w:r>
      <w:r>
        <w:rPr/>
        <w:t>in</w:t>
      </w:r>
      <w:r>
        <w:rPr>
          <w:spacing w:val="-6"/>
        </w:rPr>
        <w:t> </w:t>
      </w:r>
      <w:r>
        <w:rPr/>
        <w:t>their</w:t>
      </w:r>
      <w:r>
        <w:rPr>
          <w:spacing w:val="-6"/>
        </w:rPr>
        <w:t> </w:t>
      </w:r>
      <w:r>
        <w:rPr/>
        <w:t>asbestos</w:t>
      </w:r>
      <w:r>
        <w:rPr>
          <w:spacing w:val="-5"/>
        </w:rPr>
        <w:t> </w:t>
      </w:r>
      <w:r>
        <w:rPr/>
        <w:t>registers.</w:t>
      </w:r>
    </w:p>
    <w:p>
      <w:pPr>
        <w:pStyle w:val="BodyText"/>
        <w:spacing w:before="135"/>
        <w:ind w:left="854"/>
      </w:pPr>
      <w:r>
        <w:rPr/>
        <w:t>Asbestos-containing millboard has been used in</w:t>
      </w:r>
    </w:p>
    <w:p>
      <w:pPr>
        <w:pStyle w:val="BodyText"/>
        <w:spacing w:line="283" w:lineRule="auto" w:before="40"/>
        <w:ind w:left="854" w:right="43"/>
      </w:pPr>
      <w:r>
        <w:rPr/>
        <w:t>the construction industry all over the world due to its flame-resistant properties. It was extensively used in the electrical industry to line boxes or compartments that housed heat or spark-producing electrical equipment</w:t>
      </w:r>
      <w:r>
        <w:rPr>
          <w:spacing w:val="-15"/>
        </w:rPr>
        <w:t> </w:t>
      </w:r>
      <w:r>
        <w:rPr/>
        <w:t>such</w:t>
      </w:r>
      <w:r>
        <w:rPr>
          <w:spacing w:val="-14"/>
        </w:rPr>
        <w:t> </w:t>
      </w:r>
      <w:r>
        <w:rPr/>
        <w:t>as</w:t>
      </w:r>
      <w:r>
        <w:rPr>
          <w:spacing w:val="-15"/>
        </w:rPr>
        <w:t> </w:t>
      </w:r>
      <w:r>
        <w:rPr/>
        <w:t>heating,</w:t>
      </w:r>
      <w:r>
        <w:rPr>
          <w:spacing w:val="-14"/>
        </w:rPr>
        <w:t> </w:t>
      </w:r>
      <w:r>
        <w:rPr/>
        <w:t>ventilation,</w:t>
      </w:r>
      <w:r>
        <w:rPr>
          <w:spacing w:val="-15"/>
        </w:rPr>
        <w:t> </w:t>
      </w:r>
      <w:r>
        <w:rPr/>
        <w:t>air</w:t>
      </w:r>
      <w:r>
        <w:rPr>
          <w:spacing w:val="-14"/>
        </w:rPr>
        <w:t> </w:t>
      </w:r>
      <w:r>
        <w:rPr/>
        <w:t>conditioning and refrigeration (HVAC&amp;R)</w:t>
      </w:r>
      <w:r>
        <w:rPr>
          <w:spacing w:val="-15"/>
        </w:rPr>
        <w:t> </w:t>
      </w:r>
      <w:r>
        <w:rPr/>
        <w:t>plant.</w:t>
      </w:r>
    </w:p>
    <w:p>
      <w:pPr>
        <w:pStyle w:val="BodyText"/>
        <w:spacing w:line="283" w:lineRule="auto" w:before="134"/>
        <w:ind w:left="854"/>
      </w:pPr>
      <w:r>
        <w:rPr/>
        <w:t>With many older buildings across Adelaide undergoing refurbishment and retrofitting, there was a potential exposure risk to contractors undertaking these works from the millboard lining.</w:t>
      </w:r>
    </w:p>
    <w:p>
      <w:pPr>
        <w:pStyle w:val="BodyText"/>
        <w:spacing w:line="283" w:lineRule="auto" w:before="133"/>
        <w:ind w:left="854" w:right="475"/>
      </w:pPr>
      <w:r>
        <w:rPr/>
        <w:t>SafeWork</w:t>
      </w:r>
      <w:r>
        <w:rPr>
          <w:spacing w:val="-17"/>
        </w:rPr>
        <w:t> </w:t>
      </w:r>
      <w:r>
        <w:rPr/>
        <w:t>SA</w:t>
      </w:r>
      <w:r>
        <w:rPr>
          <w:spacing w:val="-17"/>
        </w:rPr>
        <w:t> </w:t>
      </w:r>
      <w:r>
        <w:rPr/>
        <w:t>determined</w:t>
      </w:r>
      <w:r>
        <w:rPr>
          <w:spacing w:val="-16"/>
        </w:rPr>
        <w:t> </w:t>
      </w:r>
      <w:r>
        <w:rPr/>
        <w:t>that</w:t>
      </w:r>
      <w:r>
        <w:rPr>
          <w:spacing w:val="-17"/>
        </w:rPr>
        <w:t> </w:t>
      </w:r>
      <w:r>
        <w:rPr/>
        <w:t>the</w:t>
      </w:r>
      <w:r>
        <w:rPr>
          <w:spacing w:val="-17"/>
        </w:rPr>
        <w:t> </w:t>
      </w:r>
      <w:r>
        <w:rPr/>
        <w:t>millboard</w:t>
      </w:r>
      <w:r>
        <w:rPr>
          <w:spacing w:val="-16"/>
        </w:rPr>
        <w:t> </w:t>
      </w:r>
      <w:r>
        <w:rPr/>
        <w:t>lining should be identified as containing asbestos and removed</w:t>
      </w:r>
      <w:r>
        <w:rPr>
          <w:spacing w:val="-13"/>
        </w:rPr>
        <w:t> </w:t>
      </w:r>
      <w:r>
        <w:rPr/>
        <w:t>prior</w:t>
      </w:r>
      <w:r>
        <w:rPr>
          <w:spacing w:val="-13"/>
        </w:rPr>
        <w:t> </w:t>
      </w:r>
      <w:r>
        <w:rPr/>
        <w:t>to</w:t>
      </w:r>
      <w:r>
        <w:rPr>
          <w:spacing w:val="-13"/>
        </w:rPr>
        <w:t> </w:t>
      </w:r>
      <w:r>
        <w:rPr/>
        <w:t>demolition</w:t>
      </w:r>
      <w:r>
        <w:rPr>
          <w:spacing w:val="-13"/>
        </w:rPr>
        <w:t> </w:t>
      </w:r>
      <w:r>
        <w:rPr/>
        <w:t>or</w:t>
      </w:r>
      <w:r>
        <w:rPr>
          <w:spacing w:val="-13"/>
        </w:rPr>
        <w:t> </w:t>
      </w:r>
      <w:r>
        <w:rPr/>
        <w:t>refurbishment</w:t>
      </w:r>
      <w:r>
        <w:rPr>
          <w:spacing w:val="-13"/>
        </w:rPr>
        <w:t> </w:t>
      </w:r>
      <w:r>
        <w:rPr/>
        <w:t>to minimise exposure</w:t>
      </w:r>
      <w:r>
        <w:rPr>
          <w:spacing w:val="-7"/>
        </w:rPr>
        <w:t> </w:t>
      </w:r>
      <w:r>
        <w:rPr/>
        <w:t>risks.</w:t>
      </w:r>
    </w:p>
    <w:p>
      <w:pPr>
        <w:pStyle w:val="BodyText"/>
        <w:spacing w:line="283" w:lineRule="auto" w:before="133"/>
        <w:ind w:left="854" w:right="605"/>
      </w:pPr>
      <w:r>
        <w:rPr/>
        <w:t>SafeWork SA developed a communication plan which included the issuing of a Safety Alert to building owners.</w:t>
      </w:r>
    </w:p>
    <w:p>
      <w:pPr>
        <w:pStyle w:val="Heading1"/>
        <w:spacing w:before="142"/>
        <w:ind w:left="854"/>
      </w:pPr>
      <w:r>
        <w:rPr>
          <w:w w:val="90"/>
        </w:rPr>
        <w:t>Action taken</w:t>
      </w:r>
    </w:p>
    <w:p>
      <w:pPr>
        <w:pStyle w:val="BodyText"/>
        <w:spacing w:line="283" w:lineRule="auto" w:before="100"/>
        <w:ind w:left="1700" w:right="65"/>
      </w:pPr>
      <w:r>
        <w:rPr/>
        <w:br w:type="column"/>
      </w:r>
      <w:r>
        <w:rPr/>
        <w:t>guidance</w:t>
      </w:r>
      <w:r>
        <w:rPr>
          <w:spacing w:val="-14"/>
        </w:rPr>
        <w:t> </w:t>
      </w:r>
      <w:r>
        <w:rPr/>
        <w:t>material</w:t>
      </w:r>
      <w:r>
        <w:rPr>
          <w:spacing w:val="-14"/>
        </w:rPr>
        <w:t> </w:t>
      </w:r>
      <w:r>
        <w:rPr/>
        <w:t>for</w:t>
      </w:r>
      <w:r>
        <w:rPr>
          <w:spacing w:val="-13"/>
        </w:rPr>
        <w:t> </w:t>
      </w:r>
      <w:r>
        <w:rPr/>
        <w:t>workers</w:t>
      </w:r>
      <w:r>
        <w:rPr>
          <w:spacing w:val="-14"/>
        </w:rPr>
        <w:t> </w:t>
      </w:r>
      <w:r>
        <w:rPr/>
        <w:t>that</w:t>
      </w:r>
      <w:r>
        <w:rPr>
          <w:spacing w:val="-13"/>
        </w:rPr>
        <w:t> </w:t>
      </w:r>
      <w:r>
        <w:rPr/>
        <w:t>highlights</w:t>
      </w:r>
      <w:r>
        <w:rPr>
          <w:spacing w:val="-14"/>
        </w:rPr>
        <w:t> </w:t>
      </w:r>
      <w:r>
        <w:rPr/>
        <w:t>risks</w:t>
      </w:r>
      <w:r>
        <w:rPr>
          <w:spacing w:val="-13"/>
        </w:rPr>
        <w:t> </w:t>
      </w:r>
      <w:r>
        <w:rPr/>
        <w:t>and hazards</w:t>
      </w:r>
      <w:r>
        <w:rPr>
          <w:spacing w:val="-18"/>
        </w:rPr>
        <w:t> </w:t>
      </w:r>
      <w:r>
        <w:rPr/>
        <w:t>with</w:t>
      </w:r>
      <w:r>
        <w:rPr>
          <w:spacing w:val="-18"/>
        </w:rPr>
        <w:t> </w:t>
      </w:r>
      <w:r>
        <w:rPr/>
        <w:t>equipment,</w:t>
      </w:r>
      <w:r>
        <w:rPr>
          <w:spacing w:val="-17"/>
        </w:rPr>
        <w:t> </w:t>
      </w:r>
      <w:r>
        <w:rPr/>
        <w:t>work</w:t>
      </w:r>
      <w:r>
        <w:rPr>
          <w:spacing w:val="-18"/>
        </w:rPr>
        <w:t> </w:t>
      </w:r>
      <w:r>
        <w:rPr/>
        <w:t>practices</w:t>
      </w:r>
      <w:r>
        <w:rPr>
          <w:spacing w:val="-18"/>
        </w:rPr>
        <w:t> </w:t>
      </w:r>
      <w:r>
        <w:rPr/>
        <w:t>or</w:t>
      </w:r>
      <w:r>
        <w:rPr>
          <w:spacing w:val="-17"/>
        </w:rPr>
        <w:t> </w:t>
      </w:r>
      <w:r>
        <w:rPr/>
        <w:t>workplaces, and provides advice on the required action to prevent an incident from occurring. For this case relating to asbestos-containing millboard lining in heater banks, SafeWork </w:t>
      </w:r>
      <w:r>
        <w:rPr>
          <w:spacing w:val="-5"/>
        </w:rPr>
        <w:t>SA’s </w:t>
      </w:r>
      <w:r>
        <w:rPr/>
        <w:t>Safety Alert provided advice on where the asbestos could be located, factors and risks to consider, and what action was required to ensure building owners were meeting their work</w:t>
      </w:r>
      <w:r>
        <w:rPr>
          <w:spacing w:val="-30"/>
        </w:rPr>
        <w:t> </w:t>
      </w:r>
      <w:r>
        <w:rPr/>
        <w:t>health</w:t>
      </w:r>
    </w:p>
    <w:p>
      <w:pPr>
        <w:pStyle w:val="BodyText"/>
        <w:spacing w:before="6"/>
        <w:ind w:left="1700"/>
      </w:pPr>
      <w:r>
        <w:rPr/>
        <w:t>and safety legal responsibilities.</w:t>
      </w:r>
    </w:p>
    <w:p>
      <w:pPr>
        <w:pStyle w:val="BodyText"/>
        <w:spacing w:before="9"/>
        <w:rPr>
          <w:sz w:val="14"/>
        </w:rPr>
      </w:pPr>
    </w:p>
    <w:p>
      <w:pPr>
        <w:pStyle w:val="Heading1"/>
        <w:spacing w:before="0"/>
      </w:pPr>
      <w:r>
        <w:rPr>
          <w:w w:val="90"/>
        </w:rPr>
        <w:t>Results</w:t>
      </w:r>
    </w:p>
    <w:p>
      <w:pPr>
        <w:pStyle w:val="BodyText"/>
        <w:spacing w:before="160"/>
        <w:ind w:left="1700"/>
      </w:pPr>
      <w:r>
        <w:rPr/>
        <w:t>SafeWork SA was able to:</w:t>
      </w:r>
    </w:p>
    <w:p>
      <w:pPr>
        <w:pStyle w:val="BodyText"/>
        <w:spacing w:line="283" w:lineRule="auto" w:before="170"/>
        <w:ind w:left="1984" w:right="251" w:hanging="284"/>
        <w:jc w:val="both"/>
      </w:pPr>
      <w:r>
        <w:rPr>
          <w:position w:val="-3"/>
        </w:rPr>
        <w:drawing>
          <wp:inline distT="0" distB="0" distL="0" distR="0">
            <wp:extent cx="71856" cy="11145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identify and contact </w:t>
      </w:r>
      <w:r>
        <w:rPr>
          <w:spacing w:val="-3"/>
        </w:rPr>
        <w:t>42 </w:t>
      </w:r>
      <w:r>
        <w:rPr/>
        <w:t>building owners to alert them</w:t>
      </w:r>
      <w:r>
        <w:rPr>
          <w:spacing w:val="-17"/>
        </w:rPr>
        <w:t> </w:t>
      </w:r>
      <w:r>
        <w:rPr/>
        <w:t>to</w:t>
      </w:r>
      <w:r>
        <w:rPr>
          <w:spacing w:val="-16"/>
        </w:rPr>
        <w:t> </w:t>
      </w:r>
      <w:r>
        <w:rPr/>
        <w:t>potential</w:t>
      </w:r>
      <w:r>
        <w:rPr>
          <w:spacing w:val="-16"/>
        </w:rPr>
        <w:t> </w:t>
      </w:r>
      <w:r>
        <w:rPr/>
        <w:t>asbestos-containing</w:t>
      </w:r>
      <w:r>
        <w:rPr>
          <w:spacing w:val="-17"/>
        </w:rPr>
        <w:t> </w:t>
      </w:r>
      <w:r>
        <w:rPr/>
        <w:t>millboard lining in heater</w:t>
      </w:r>
      <w:r>
        <w:rPr>
          <w:spacing w:val="-8"/>
        </w:rPr>
        <w:t> </w:t>
      </w:r>
      <w:r>
        <w:rPr/>
        <w:t>banks</w:t>
      </w:r>
    </w:p>
    <w:p>
      <w:pPr>
        <w:pStyle w:val="BodyText"/>
        <w:spacing w:line="283" w:lineRule="auto" w:before="132"/>
        <w:ind w:left="1984" w:right="-3" w:hanging="284"/>
      </w:pPr>
      <w:r>
        <w:rPr>
          <w:position w:val="-3"/>
        </w:rPr>
        <w:drawing>
          <wp:inline distT="0" distB="0" distL="0" distR="0">
            <wp:extent cx="71856" cy="111455"/>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provide</w:t>
      </w:r>
      <w:r>
        <w:rPr>
          <w:spacing w:val="-14"/>
        </w:rPr>
        <w:t> </w:t>
      </w:r>
      <w:r>
        <w:rPr/>
        <w:t>a</w:t>
      </w:r>
      <w:r>
        <w:rPr>
          <w:spacing w:val="-13"/>
        </w:rPr>
        <w:t> </w:t>
      </w:r>
      <w:r>
        <w:rPr/>
        <w:t>general</w:t>
      </w:r>
      <w:r>
        <w:rPr>
          <w:spacing w:val="-14"/>
        </w:rPr>
        <w:t> </w:t>
      </w:r>
      <w:r>
        <w:rPr/>
        <w:t>industry-wide</w:t>
      </w:r>
      <w:r>
        <w:rPr>
          <w:spacing w:val="-13"/>
        </w:rPr>
        <w:t> </w:t>
      </w:r>
      <w:r>
        <w:rPr/>
        <w:t>awareness</w:t>
      </w:r>
      <w:r>
        <w:rPr>
          <w:spacing w:val="-13"/>
        </w:rPr>
        <w:t> </w:t>
      </w:r>
      <w:r>
        <w:rPr/>
        <w:t>with</w:t>
      </w:r>
      <w:r>
        <w:rPr>
          <w:spacing w:val="-14"/>
        </w:rPr>
        <w:t> </w:t>
      </w:r>
      <w:r>
        <w:rPr/>
        <w:t>the Safety</w:t>
      </w:r>
      <w:r>
        <w:rPr>
          <w:spacing w:val="-12"/>
        </w:rPr>
        <w:t> </w:t>
      </w:r>
      <w:r>
        <w:rPr/>
        <w:t>Alert</w:t>
      </w:r>
      <w:r>
        <w:rPr>
          <w:spacing w:val="-12"/>
        </w:rPr>
        <w:t> </w:t>
      </w:r>
      <w:r>
        <w:rPr/>
        <w:t>available</w:t>
      </w:r>
      <w:r>
        <w:rPr>
          <w:spacing w:val="-12"/>
        </w:rPr>
        <w:t> </w:t>
      </w:r>
      <w:r>
        <w:rPr/>
        <w:t>on</w:t>
      </w:r>
      <w:r>
        <w:rPr>
          <w:spacing w:val="-12"/>
        </w:rPr>
        <w:t> </w:t>
      </w:r>
      <w:r>
        <w:rPr/>
        <w:t>the</w:t>
      </w:r>
      <w:r>
        <w:rPr>
          <w:spacing w:val="-11"/>
        </w:rPr>
        <w:t> </w:t>
      </w:r>
      <w:r>
        <w:rPr/>
        <w:t>SafeWork</w:t>
      </w:r>
      <w:r>
        <w:rPr>
          <w:spacing w:val="-12"/>
        </w:rPr>
        <w:t> </w:t>
      </w:r>
      <w:r>
        <w:rPr/>
        <w:t>SA</w:t>
      </w:r>
      <w:r>
        <w:rPr>
          <w:spacing w:val="-12"/>
        </w:rPr>
        <w:t> </w:t>
      </w:r>
      <w:r>
        <w:rPr/>
        <w:t>website</w:t>
      </w:r>
    </w:p>
    <w:p>
      <w:pPr>
        <w:pStyle w:val="BodyText"/>
        <w:spacing w:line="283" w:lineRule="auto" w:before="131"/>
        <w:ind w:left="1984" w:right="13" w:hanging="284"/>
        <w:jc w:val="both"/>
      </w:pPr>
      <w:r>
        <w:rPr>
          <w:position w:val="-3"/>
        </w:rPr>
        <w:drawing>
          <wp:inline distT="0" distB="0" distL="0" distR="0">
            <wp:extent cx="71856" cy="111455"/>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provide</w:t>
      </w:r>
      <w:r>
        <w:rPr>
          <w:spacing w:val="-16"/>
        </w:rPr>
        <w:t> </w:t>
      </w:r>
      <w:r>
        <w:rPr/>
        <w:t>stakeholders</w:t>
      </w:r>
      <w:r>
        <w:rPr>
          <w:spacing w:val="-15"/>
        </w:rPr>
        <w:t> </w:t>
      </w:r>
      <w:r>
        <w:rPr/>
        <w:t>with</w:t>
      </w:r>
      <w:r>
        <w:rPr>
          <w:spacing w:val="-16"/>
        </w:rPr>
        <w:t> </w:t>
      </w:r>
      <w:r>
        <w:rPr/>
        <w:t>information</w:t>
      </w:r>
      <w:r>
        <w:rPr>
          <w:spacing w:val="-15"/>
        </w:rPr>
        <w:t> </w:t>
      </w:r>
      <w:r>
        <w:rPr/>
        <w:t>about</w:t>
      </w:r>
      <w:r>
        <w:rPr>
          <w:spacing w:val="-15"/>
        </w:rPr>
        <w:t> </w:t>
      </w:r>
      <w:r>
        <w:rPr/>
        <w:t>old</w:t>
      </w:r>
      <w:r>
        <w:rPr>
          <w:spacing w:val="-16"/>
        </w:rPr>
        <w:t> </w:t>
      </w:r>
      <w:r>
        <w:rPr/>
        <w:t>air conditioning</w:t>
      </w:r>
      <w:r>
        <w:rPr>
          <w:spacing w:val="-13"/>
        </w:rPr>
        <w:t> </w:t>
      </w:r>
      <w:r>
        <w:rPr/>
        <w:t>systems</w:t>
      </w:r>
      <w:r>
        <w:rPr>
          <w:spacing w:val="-13"/>
        </w:rPr>
        <w:t> </w:t>
      </w:r>
      <w:r>
        <w:rPr/>
        <w:t>and</w:t>
      </w:r>
      <w:r>
        <w:rPr>
          <w:spacing w:val="-13"/>
        </w:rPr>
        <w:t> </w:t>
      </w:r>
      <w:r>
        <w:rPr/>
        <w:t>the</w:t>
      </w:r>
      <w:r>
        <w:rPr>
          <w:spacing w:val="-13"/>
        </w:rPr>
        <w:t> </w:t>
      </w:r>
      <w:r>
        <w:rPr/>
        <w:t>potential</w:t>
      </w:r>
      <w:r>
        <w:rPr>
          <w:spacing w:val="-13"/>
        </w:rPr>
        <w:t> </w:t>
      </w:r>
      <w:r>
        <w:rPr/>
        <w:t>for</w:t>
      </w:r>
      <w:r>
        <w:rPr>
          <w:spacing w:val="-13"/>
        </w:rPr>
        <w:t> </w:t>
      </w:r>
      <w:r>
        <w:rPr/>
        <w:t>asbestos millboard.</w:t>
      </w:r>
    </w:p>
    <w:p>
      <w:pPr>
        <w:pStyle w:val="Heading1"/>
        <w:spacing w:before="141"/>
      </w:pPr>
      <w:r>
        <w:rPr>
          <w:w w:val="90"/>
        </w:rPr>
        <w:t>Outcomes</w:t>
      </w:r>
    </w:p>
    <w:p>
      <w:pPr>
        <w:pStyle w:val="BodyText"/>
        <w:spacing w:before="160"/>
        <w:ind w:left="1700"/>
      </w:pPr>
      <w:r>
        <w:rPr/>
        <w:t>The development of the Safety Alert will assist</w:t>
      </w:r>
    </w:p>
    <w:p>
      <w:pPr>
        <w:pStyle w:val="BodyText"/>
        <w:spacing w:line="283" w:lineRule="auto" w:before="40"/>
        <w:ind w:left="1700" w:right="10"/>
      </w:pPr>
      <w:r>
        <w:rPr/>
        <w:t>building owners and managers identify and build upon information already contained in a buildings asbestos register, improve compliance and reduce the risk</w:t>
      </w:r>
    </w:p>
    <w:p>
      <w:pPr>
        <w:pStyle w:val="BodyText"/>
        <w:spacing w:before="2"/>
        <w:ind w:left="1700"/>
      </w:pPr>
      <w:r>
        <w:rPr/>
        <w:t>of exposure.</w:t>
      </w:r>
    </w:p>
    <w:p>
      <w:pPr>
        <w:pStyle w:val="Heading1"/>
        <w:spacing w:before="97"/>
        <w:ind w:left="424"/>
      </w:pPr>
      <w:r>
        <w:rPr/>
        <w:br w:type="column"/>
      </w:r>
      <w:r>
        <w:rPr>
          <w:w w:val="90"/>
        </w:rPr>
        <w:t>Next steps</w:t>
      </w:r>
    </w:p>
    <w:p>
      <w:pPr>
        <w:pStyle w:val="BodyText"/>
        <w:spacing w:line="283" w:lineRule="auto" w:before="160"/>
        <w:ind w:left="424" w:right="607"/>
      </w:pPr>
      <w:r>
        <w:rPr/>
        <w:t>Engagement with stakeholders, community and homeowners regarding potential asbestos exposure risks remain a priority for SafeWork SA. As new issues emerge, SafeWork SA will develop a communication plan to inform the public on the dangers. The process through</w:t>
      </w:r>
      <w:r>
        <w:rPr>
          <w:spacing w:val="-6"/>
        </w:rPr>
        <w:t> </w:t>
      </w:r>
      <w:r>
        <w:rPr/>
        <w:t>which</w:t>
      </w:r>
      <w:r>
        <w:rPr>
          <w:spacing w:val="-6"/>
        </w:rPr>
        <w:t> </w:t>
      </w:r>
      <w:r>
        <w:rPr/>
        <w:t>this</w:t>
      </w:r>
      <w:r>
        <w:rPr>
          <w:spacing w:val="-6"/>
        </w:rPr>
        <w:t> </w:t>
      </w:r>
      <w:r>
        <w:rPr/>
        <w:t>Safety</w:t>
      </w:r>
      <w:r>
        <w:rPr>
          <w:spacing w:val="-6"/>
        </w:rPr>
        <w:t> </w:t>
      </w:r>
      <w:r>
        <w:rPr/>
        <w:t>Alert</w:t>
      </w:r>
      <w:r>
        <w:rPr>
          <w:spacing w:val="-6"/>
        </w:rPr>
        <w:t> </w:t>
      </w:r>
      <w:r>
        <w:rPr/>
        <w:t>was</w:t>
      </w:r>
      <w:r>
        <w:rPr>
          <w:spacing w:val="-6"/>
        </w:rPr>
        <w:t> </w:t>
      </w:r>
      <w:r>
        <w:rPr/>
        <w:t>developed</w:t>
      </w:r>
      <w:r>
        <w:rPr>
          <w:spacing w:val="-6"/>
        </w:rPr>
        <w:t> </w:t>
      </w:r>
      <w:r>
        <w:rPr/>
        <w:t>can</w:t>
      </w:r>
      <w:r>
        <w:rPr>
          <w:spacing w:val="-6"/>
        </w:rPr>
        <w:t> </w:t>
      </w:r>
      <w:r>
        <w:rPr/>
        <w:t>help inform those</w:t>
      </w:r>
      <w:r>
        <w:rPr>
          <w:spacing w:val="-6"/>
        </w:rPr>
        <w:t> </w:t>
      </w:r>
      <w:r>
        <w:rPr/>
        <w:t>processes.</w:t>
      </w:r>
    </w:p>
    <w:p>
      <w:pPr>
        <w:pStyle w:val="Heading1"/>
        <w:spacing w:before="143"/>
        <w:ind w:left="424"/>
      </w:pPr>
      <w:r>
        <w:rPr>
          <w:w w:val="80"/>
        </w:rPr>
        <w:t>More</w:t>
      </w:r>
      <w:r>
        <w:rPr>
          <w:spacing w:val="4"/>
          <w:w w:val="80"/>
        </w:rPr>
        <w:t> </w:t>
      </w:r>
      <w:r>
        <w:rPr>
          <w:w w:val="80"/>
        </w:rPr>
        <w:t>Information</w:t>
      </w:r>
    </w:p>
    <w:p>
      <w:pPr>
        <w:pStyle w:val="BodyText"/>
        <w:spacing w:line="283" w:lineRule="auto" w:before="160"/>
        <w:ind w:left="424" w:right="1010"/>
      </w:pPr>
      <w:r>
        <w:rPr/>
        <w:t>https://</w:t>
      </w:r>
      <w:hyperlink r:id="rId7">
        <w:r>
          <w:rPr/>
          <w:t>www.safework.sa.gov.au/news/asbestos-</w:t>
        </w:r>
      </w:hyperlink>
      <w:r>
        <w:rPr/>
        <w:t> and-air-conditioning-ductwork#</w:t>
      </w:r>
    </w:p>
    <w:p>
      <w:pPr>
        <w:spacing w:after="0" w:line="283" w:lineRule="auto"/>
        <w:sectPr>
          <w:type w:val="continuous"/>
          <w:pgSz w:w="23820" w:h="16840" w:orient="landscape"/>
          <w:pgMar w:top="1120" w:bottom="280" w:left="0" w:right="1020"/>
          <w:cols w:num="4" w:equalWidth="0">
            <w:col w:w="5286" w:space="40"/>
            <w:col w:w="4898" w:space="1681"/>
            <w:col w:w="5715" w:space="40"/>
            <w:col w:w="5140"/>
          </w:cols>
        </w:sectPr>
      </w:pPr>
    </w:p>
    <w:p>
      <w:pPr>
        <w:pStyle w:val="BodyText"/>
        <w:spacing w:line="283" w:lineRule="auto" w:before="159"/>
        <w:ind w:left="6179" w:right="143"/>
      </w:pPr>
      <w:r>
        <w:rPr/>
        <w:t>SafeWork SA worked with the Air Conditioning and Mechanical Contractors Association of SA to identify buildings that they knew of that had millboard lining installed in the ducts adjacent to the heater banks.</w:t>
      </w:r>
    </w:p>
    <w:p>
      <w:pPr>
        <w:pStyle w:val="BodyText"/>
        <w:spacing w:line="283" w:lineRule="auto" w:before="133"/>
        <w:ind w:left="6179" w:right="10"/>
      </w:pPr>
      <w:r>
        <w:rPr/>
        <w:t>SafeWork SA then wrote to all known building owners and managers, based on this list, alerting them to the potential presence of asbestos-containing millboard lining, and their responsibility to include the millboard lining on their asbestos registers.</w:t>
      </w:r>
    </w:p>
    <w:p>
      <w:pPr>
        <w:pStyle w:val="BodyText"/>
        <w:spacing w:line="283" w:lineRule="auto" w:before="133"/>
        <w:ind w:left="6179" w:right="32"/>
      </w:pPr>
      <w:r>
        <w:rPr>
          <w:spacing w:val="-6"/>
        </w:rPr>
        <w:t>To</w:t>
      </w:r>
      <w:r>
        <w:rPr>
          <w:spacing w:val="-11"/>
        </w:rPr>
        <w:t> </w:t>
      </w:r>
      <w:r>
        <w:rPr/>
        <w:t>capture</w:t>
      </w:r>
      <w:r>
        <w:rPr>
          <w:spacing w:val="-11"/>
        </w:rPr>
        <w:t> </w:t>
      </w:r>
      <w:r>
        <w:rPr/>
        <w:t>any</w:t>
      </w:r>
      <w:r>
        <w:rPr>
          <w:spacing w:val="-11"/>
        </w:rPr>
        <w:t> </w:t>
      </w:r>
      <w:r>
        <w:rPr/>
        <w:t>building</w:t>
      </w:r>
      <w:r>
        <w:rPr>
          <w:spacing w:val="-11"/>
        </w:rPr>
        <w:t> </w:t>
      </w:r>
      <w:r>
        <w:rPr/>
        <w:t>owners</w:t>
      </w:r>
      <w:r>
        <w:rPr>
          <w:spacing w:val="-10"/>
        </w:rPr>
        <w:t> </w:t>
      </w:r>
      <w:r>
        <w:rPr/>
        <w:t>or</w:t>
      </w:r>
      <w:r>
        <w:rPr>
          <w:spacing w:val="-11"/>
        </w:rPr>
        <w:t> </w:t>
      </w:r>
      <w:r>
        <w:rPr/>
        <w:t>managers</w:t>
      </w:r>
      <w:r>
        <w:rPr>
          <w:spacing w:val="-11"/>
        </w:rPr>
        <w:t> </w:t>
      </w:r>
      <w:r>
        <w:rPr/>
        <w:t>not</w:t>
      </w:r>
      <w:r>
        <w:rPr>
          <w:spacing w:val="-11"/>
        </w:rPr>
        <w:t> </w:t>
      </w:r>
      <w:r>
        <w:rPr/>
        <w:t>listed, a Safety Alert was developed and placed on SafeWork </w:t>
      </w:r>
      <w:r>
        <w:rPr>
          <w:spacing w:val="-5"/>
        </w:rPr>
        <w:t>SA’s</w:t>
      </w:r>
      <w:r>
        <w:rPr>
          <w:spacing w:val="-9"/>
        </w:rPr>
        <w:t> </w:t>
      </w:r>
      <w:r>
        <w:rPr/>
        <w:t>website.</w:t>
      </w:r>
      <w:r>
        <w:rPr>
          <w:spacing w:val="-8"/>
        </w:rPr>
        <w:t> </w:t>
      </w:r>
      <w:r>
        <w:rPr/>
        <w:t>The</w:t>
      </w:r>
      <w:r>
        <w:rPr>
          <w:spacing w:val="-8"/>
        </w:rPr>
        <w:t> </w:t>
      </w:r>
      <w:r>
        <w:rPr/>
        <w:t>Safety</w:t>
      </w:r>
      <w:r>
        <w:rPr>
          <w:spacing w:val="-9"/>
        </w:rPr>
        <w:t> </w:t>
      </w:r>
      <w:r>
        <w:rPr/>
        <w:t>Alert</w:t>
      </w:r>
      <w:r>
        <w:rPr>
          <w:spacing w:val="-8"/>
        </w:rPr>
        <w:t> </w:t>
      </w:r>
      <w:r>
        <w:rPr/>
        <w:t>is</w:t>
      </w:r>
      <w:r>
        <w:rPr>
          <w:spacing w:val="-8"/>
        </w:rPr>
        <w:t> </w:t>
      </w:r>
      <w:r>
        <w:rPr/>
        <w:t>an</w:t>
      </w:r>
      <w:r>
        <w:rPr>
          <w:spacing w:val="-9"/>
        </w:rPr>
        <w:t> </w:t>
      </w:r>
      <w:r>
        <w:rPr/>
        <w:t>agency-developed</w:t>
      </w:r>
    </w:p>
    <w:p>
      <w:pPr>
        <w:pStyle w:val="BodyText"/>
        <w:rPr>
          <w:sz w:val="20"/>
        </w:rPr>
      </w:pPr>
    </w:p>
    <w:p>
      <w:pPr>
        <w:pStyle w:val="BodyText"/>
        <w:rPr>
          <w:sz w:val="20"/>
        </w:rPr>
      </w:pPr>
    </w:p>
    <w:p>
      <w:pPr>
        <w:pStyle w:val="BodyText"/>
        <w:spacing w:before="3"/>
        <w:rPr>
          <w:sz w:val="28"/>
        </w:rPr>
      </w:pPr>
    </w:p>
    <w:p>
      <w:pPr>
        <w:spacing w:before="1"/>
        <w:ind w:left="1133" w:right="0" w:firstLine="0"/>
        <w:jc w:val="left"/>
        <w:rPr>
          <w:sz w:val="14"/>
        </w:rPr>
      </w:pPr>
      <w:r>
        <w:rPr>
          <w:sz w:val="14"/>
        </w:rPr>
        <w:t>36</w:t>
      </w:r>
    </w:p>
    <w:p>
      <w:pPr>
        <w:pStyle w:val="BodyText"/>
        <w:spacing w:before="7"/>
        <w:rPr>
          <w:sz w:val="19"/>
        </w:rPr>
      </w:pPr>
      <w:r>
        <w:rPr/>
        <w:br w:type="column"/>
      </w:r>
      <w:r>
        <w:rPr>
          <w:sz w:val="19"/>
        </w:rPr>
      </w:r>
    </w:p>
    <w:p>
      <w:pPr>
        <w:pStyle w:val="BodyText"/>
        <w:tabs>
          <w:tab w:pos="5612" w:val="left" w:leader="none"/>
        </w:tabs>
        <w:ind w:left="1133"/>
      </w:pPr>
      <w:r>
        <w:rPr>
          <w:position w:val="1"/>
        </w:rPr>
        <w:t>Figure</w:t>
      </w:r>
      <w:r>
        <w:rPr>
          <w:spacing w:val="-7"/>
          <w:position w:val="1"/>
        </w:rPr>
        <w:t> </w:t>
      </w:r>
      <w:r>
        <w:rPr>
          <w:spacing w:val="-6"/>
          <w:position w:val="1"/>
        </w:rPr>
        <w:t>21:</w:t>
      </w:r>
      <w:r>
        <w:rPr>
          <w:spacing w:val="-7"/>
          <w:position w:val="1"/>
        </w:rPr>
        <w:t> </w:t>
      </w:r>
      <w:r>
        <w:rPr>
          <w:position w:val="1"/>
        </w:rPr>
        <w:t>Asbestos</w:t>
      </w:r>
      <w:r>
        <w:rPr>
          <w:spacing w:val="-6"/>
          <w:position w:val="1"/>
        </w:rPr>
        <w:t> </w:t>
      </w:r>
      <w:r>
        <w:rPr>
          <w:position w:val="1"/>
        </w:rPr>
        <w:t>lining</w:t>
      </w:r>
      <w:r>
        <w:rPr>
          <w:spacing w:val="-7"/>
          <w:position w:val="1"/>
        </w:rPr>
        <w:t> </w:t>
      </w:r>
      <w:r>
        <w:rPr>
          <w:position w:val="1"/>
        </w:rPr>
        <w:t>within</w:t>
      </w:r>
      <w:r>
        <w:rPr>
          <w:spacing w:val="-7"/>
          <w:position w:val="1"/>
        </w:rPr>
        <w:t> </w:t>
      </w:r>
      <w:r>
        <w:rPr>
          <w:position w:val="1"/>
        </w:rPr>
        <w:t>a</w:t>
      </w:r>
      <w:r>
        <w:rPr>
          <w:spacing w:val="-7"/>
          <w:position w:val="1"/>
        </w:rPr>
        <w:t> </w:t>
      </w:r>
      <w:r>
        <w:rPr>
          <w:position w:val="1"/>
        </w:rPr>
        <w:t>heater</w:t>
      </w:r>
      <w:r>
        <w:rPr>
          <w:spacing w:val="-7"/>
          <w:position w:val="1"/>
        </w:rPr>
        <w:t> </w:t>
      </w:r>
      <w:r>
        <w:rPr>
          <w:position w:val="1"/>
        </w:rPr>
        <w:t>bank.</w:t>
        <w:tab/>
      </w:r>
      <w:r>
        <w:rPr/>
        <w:t>Figure 22: Textile flexible joint in the exhaust</w:t>
      </w:r>
      <w:r>
        <w:rPr>
          <w:spacing w:val="-29"/>
        </w:rPr>
        <w:t> </w:t>
      </w:r>
      <w:r>
        <w:rPr/>
        <w:t>duct.</w:t>
      </w:r>
    </w:p>
    <w:p>
      <w:pPr>
        <w:pStyle w:val="BodyText"/>
        <w:spacing w:before="2"/>
        <w:rPr>
          <w:sz w:val="9"/>
        </w:rPr>
      </w:pPr>
      <w:r>
        <w:rPr/>
        <w:drawing>
          <wp:anchor distT="0" distB="0" distL="0" distR="0" allowOverlap="1" layoutInCell="1" locked="0" behindDoc="0" simplePos="0" relativeHeight="0">
            <wp:simplePos x="0" y="0"/>
            <wp:positionH relativeFrom="page">
              <wp:posOffset>8640000</wp:posOffset>
            </wp:positionH>
            <wp:positionV relativeFrom="paragraph">
              <wp:posOffset>96134</wp:posOffset>
            </wp:positionV>
            <wp:extent cx="2545129" cy="1864042"/>
            <wp:effectExtent l="0" t="0" r="0" b="0"/>
            <wp:wrapTopAndBottom/>
            <wp:docPr id="7" name="image3.jpeg" descr=""/>
            <wp:cNvGraphicFramePr>
              <a:graphicFrameLocks noChangeAspect="1"/>
            </wp:cNvGraphicFramePr>
            <a:graphic>
              <a:graphicData uri="http://schemas.openxmlformats.org/drawingml/2006/picture">
                <pic:pic>
                  <pic:nvPicPr>
                    <pic:cNvPr id="8" name="image3.jpeg"/>
                    <pic:cNvPicPr/>
                  </pic:nvPicPr>
                  <pic:blipFill>
                    <a:blip r:embed="rId8" cstate="print"/>
                    <a:stretch>
                      <a:fillRect/>
                    </a:stretch>
                  </pic:blipFill>
                  <pic:spPr>
                    <a:xfrm>
                      <a:off x="0" y="0"/>
                      <a:ext cx="2545129" cy="1864042"/>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11484000</wp:posOffset>
            </wp:positionH>
            <wp:positionV relativeFrom="paragraph">
              <wp:posOffset>96134</wp:posOffset>
            </wp:positionV>
            <wp:extent cx="2545129" cy="1864042"/>
            <wp:effectExtent l="0" t="0" r="0" b="0"/>
            <wp:wrapTopAndBottom/>
            <wp:docPr id="9" name="image4.jpeg" descr=""/>
            <wp:cNvGraphicFramePr>
              <a:graphicFrameLocks noChangeAspect="1"/>
            </wp:cNvGraphicFramePr>
            <a:graphic>
              <a:graphicData uri="http://schemas.openxmlformats.org/drawingml/2006/picture">
                <pic:pic>
                  <pic:nvPicPr>
                    <pic:cNvPr id="10" name="image4.jpeg"/>
                    <pic:cNvPicPr/>
                  </pic:nvPicPr>
                  <pic:blipFill>
                    <a:blip r:embed="rId9" cstate="print"/>
                    <a:stretch>
                      <a:fillRect/>
                    </a:stretch>
                  </pic:blipFill>
                  <pic:spPr>
                    <a:xfrm>
                      <a:off x="0" y="0"/>
                      <a:ext cx="2545129" cy="1864042"/>
                    </a:xfrm>
                    <a:prstGeom prst="rect">
                      <a:avLst/>
                    </a:prstGeom>
                  </pic:spPr>
                </pic:pic>
              </a:graphicData>
            </a:graphic>
          </wp:anchor>
        </w:drawing>
      </w:r>
    </w:p>
    <w:p>
      <w:pPr>
        <w:pStyle w:val="BodyText"/>
        <w:rPr>
          <w:sz w:val="22"/>
        </w:rPr>
      </w:pPr>
    </w:p>
    <w:p>
      <w:pPr>
        <w:pStyle w:val="BodyText"/>
        <w:rPr>
          <w:sz w:val="22"/>
        </w:rPr>
      </w:pPr>
    </w:p>
    <w:p>
      <w:pPr>
        <w:pStyle w:val="BodyText"/>
        <w:spacing w:before="4"/>
        <w:rPr>
          <w:sz w:val="20"/>
        </w:rPr>
      </w:pPr>
    </w:p>
    <w:p>
      <w:pPr>
        <w:spacing w:before="0"/>
        <w:ind w:left="0" w:right="111" w:firstLine="0"/>
        <w:jc w:val="right"/>
        <w:rPr>
          <w:sz w:val="14"/>
        </w:rPr>
      </w:pPr>
      <w:r>
        <w:rPr>
          <w:w w:val="95"/>
          <w:sz w:val="14"/>
        </w:rPr>
        <w:t>37</w:t>
      </w:r>
    </w:p>
    <w:sectPr>
      <w:type w:val="continuous"/>
      <w:pgSz w:w="23820" w:h="16840" w:orient="landscape"/>
      <w:pgMar w:top="1120" w:bottom="280" w:left="0" w:right="1020"/>
      <w:cols w:num="2" w:equalWidth="0">
        <w:col w:w="10172" w:space="2301"/>
        <w:col w:w="103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spacing w:before="38"/>
      <w:ind w:left="1700"/>
      <w:outlineLvl w:val="1"/>
    </w:pPr>
    <w:rPr>
      <w:rFonts w:ascii="Arial" w:hAnsi="Arial" w:eastAsia="Arial" w:cs="Arial"/>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safework.sa.gov.au/news/asbestos-" TargetMode="External"/><Relationship Id="rId8" Type="http://schemas.openxmlformats.org/officeDocument/2006/relationships/image" Target="media/image3.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2018-12-12T02:14:44Z</dcterms:created>
  <dcterms:modified xsi:type="dcterms:W3CDTF">2018-12-12T02:14:44Z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Adobe InDesign CC 14.0 (Macintosh)</vt:lpwstr>
  </property>
  <property fmtid="{D5CDD505-2E9C-101B-9397-08002B2CF9AE}" pid="4" name="LastSaved">
    <vt:filetime>2018-12-12T00:00:00Z</vt:filetime>
  </property>
</Properties>
</file>