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1"/>
        <w:ind w:left="1711" w:right="0" w:firstLine="0"/>
        <w:jc w:val="left"/>
        <w:rPr>
          <w:rFonts w:ascii="Arial"/>
          <w:sz w:val="48"/>
        </w:rPr>
      </w:pPr>
      <w:r>
        <w:rPr/>
        <w:pict>
          <v:shape style="position:absolute;margin-left:56.693401pt;margin-top:-.22816pt;width:21.95pt;height:38.35pt;mso-position-horizontal-relative:page;mso-position-vertical-relative:paragraph;z-index:1024" coordorigin="1134,-5" coordsize="439,767" path="m1189,-5l1135,50,1463,378,1134,707,1189,762,1572,378,1189,-5xe" filled="true" fillcolor="#ed1d24" stroked="false">
            <v:path arrowok="t"/>
            <v:fill type="solid"/>
            <w10:wrap type="none"/>
          </v:shape>
        </w:pict>
      </w:r>
      <w:r>
        <w:rPr>
          <w:rFonts w:ascii="Arial"/>
          <w:color w:val="542785"/>
          <w:w w:val="80"/>
          <w:sz w:val="48"/>
        </w:rPr>
        <w:t>QUEENSLAND GOVERNMENT</w:t>
      </w:r>
    </w:p>
    <w:p>
      <w:pPr>
        <w:pStyle w:val="BodyText"/>
        <w:rPr>
          <w:rFonts w:ascii="Arial"/>
          <w:sz w:val="20"/>
        </w:rPr>
      </w:pPr>
    </w:p>
    <w:p>
      <w:pPr>
        <w:pStyle w:val="BodyText"/>
        <w:rPr>
          <w:rFonts w:ascii="Arial"/>
          <w:sz w:val="20"/>
        </w:rPr>
      </w:pPr>
    </w:p>
    <w:p>
      <w:pPr>
        <w:pStyle w:val="BodyText"/>
        <w:spacing w:before="9"/>
        <w:rPr>
          <w:rFonts w:ascii="Arial"/>
          <w:sz w:val="17"/>
        </w:rPr>
      </w:pPr>
    </w:p>
    <w:p>
      <w:pPr>
        <w:spacing w:after="0"/>
        <w:rPr>
          <w:rFonts w:ascii="Arial"/>
          <w:sz w:val="17"/>
        </w:rPr>
        <w:sectPr>
          <w:type w:val="continuous"/>
          <w:pgSz w:w="23820" w:h="16840" w:orient="landscape"/>
          <w:pgMar w:top="1120" w:bottom="280" w:left="0" w:right="1020"/>
        </w:sectPr>
      </w:pPr>
    </w:p>
    <w:p>
      <w:pPr>
        <w:pStyle w:val="BodyText"/>
        <w:rPr>
          <w:rFonts w:ascii="Arial"/>
          <w:sz w:val="32"/>
        </w:rPr>
      </w:pPr>
    </w:p>
    <w:p>
      <w:pPr>
        <w:pStyle w:val="BodyText"/>
        <w:rPr>
          <w:rFonts w:ascii="Arial"/>
          <w:sz w:val="32"/>
        </w:rPr>
      </w:pPr>
    </w:p>
    <w:p>
      <w:pPr>
        <w:pStyle w:val="BodyText"/>
        <w:spacing w:before="10"/>
        <w:rPr>
          <w:rFonts w:ascii="Arial"/>
          <w:sz w:val="38"/>
        </w:rPr>
      </w:pPr>
    </w:p>
    <w:p>
      <w:pPr>
        <w:spacing w:before="0"/>
        <w:ind w:left="1700" w:right="0" w:firstLine="0"/>
        <w:jc w:val="left"/>
        <w:rPr>
          <w:rFonts w:ascii="Arial"/>
          <w:sz w:val="28"/>
        </w:rPr>
      </w:pPr>
      <w:r>
        <w:rPr>
          <w:rFonts w:ascii="Arial"/>
          <w:color w:val="00C0F3"/>
          <w:w w:val="90"/>
          <w:sz w:val="28"/>
        </w:rPr>
        <w:t>Strategy:</w:t>
      </w:r>
    </w:p>
    <w:p>
      <w:pPr>
        <w:spacing w:before="38"/>
        <w:ind w:left="1700" w:right="0" w:firstLine="0"/>
        <w:jc w:val="left"/>
        <w:rPr>
          <w:rFonts w:ascii="Arial"/>
          <w:sz w:val="28"/>
        </w:rPr>
      </w:pPr>
      <w:r>
        <w:rPr>
          <w:rFonts w:ascii="Arial"/>
          <w:w w:val="90"/>
          <w:sz w:val="28"/>
        </w:rPr>
        <w:t>Best practice</w:t>
      </w:r>
    </w:p>
    <w:p>
      <w:pPr>
        <w:spacing w:before="168"/>
        <w:ind w:left="1700" w:right="0" w:firstLine="0"/>
        <w:jc w:val="left"/>
        <w:rPr>
          <w:rFonts w:ascii="Arial"/>
          <w:sz w:val="28"/>
        </w:rPr>
      </w:pPr>
      <w:r>
        <w:rPr>
          <w:rFonts w:ascii="Arial"/>
          <w:color w:val="00C0F3"/>
          <w:w w:val="90"/>
          <w:sz w:val="28"/>
        </w:rPr>
        <w:t>Outcome:</w:t>
      </w:r>
    </w:p>
    <w:p>
      <w:pPr>
        <w:spacing w:before="38"/>
        <w:ind w:left="1700" w:right="0" w:firstLine="0"/>
        <w:jc w:val="left"/>
        <w:rPr>
          <w:rFonts w:ascii="Arial"/>
          <w:sz w:val="28"/>
        </w:rPr>
      </w:pPr>
      <w:r>
        <w:rPr>
          <w:rFonts w:ascii="Arial"/>
          <w:w w:val="85"/>
          <w:sz w:val="28"/>
        </w:rPr>
        <w:t>(O2.1) Evidence-based practice</w:t>
      </w:r>
    </w:p>
    <w:p>
      <w:pPr>
        <w:spacing w:before="38"/>
        <w:ind w:left="1700" w:right="0" w:firstLine="0"/>
        <w:jc w:val="left"/>
        <w:rPr>
          <w:rFonts w:ascii="Arial"/>
          <w:sz w:val="28"/>
        </w:rPr>
      </w:pPr>
      <w:r>
        <w:rPr>
          <w:rFonts w:ascii="Arial"/>
          <w:w w:val="85"/>
          <w:sz w:val="28"/>
        </w:rPr>
        <w:t>to</w:t>
      </w:r>
      <w:r>
        <w:rPr>
          <w:rFonts w:ascii="Arial"/>
          <w:spacing w:val="-34"/>
          <w:w w:val="85"/>
          <w:sz w:val="28"/>
        </w:rPr>
        <w:t> </w:t>
      </w:r>
      <w:r>
        <w:rPr>
          <w:rFonts w:ascii="Arial"/>
          <w:w w:val="85"/>
          <w:sz w:val="28"/>
        </w:rPr>
        <w:t>minimise</w:t>
      </w:r>
      <w:r>
        <w:rPr>
          <w:rFonts w:ascii="Arial"/>
          <w:spacing w:val="-33"/>
          <w:w w:val="85"/>
          <w:sz w:val="28"/>
        </w:rPr>
        <w:t> </w:t>
      </w:r>
      <w:r>
        <w:rPr>
          <w:rFonts w:ascii="Arial"/>
          <w:w w:val="85"/>
          <w:sz w:val="28"/>
        </w:rPr>
        <w:t>risks</w:t>
      </w:r>
      <w:r>
        <w:rPr>
          <w:rFonts w:ascii="Arial"/>
          <w:spacing w:val="-34"/>
          <w:w w:val="85"/>
          <w:sz w:val="28"/>
        </w:rPr>
        <w:t> </w:t>
      </w:r>
      <w:r>
        <w:rPr>
          <w:rFonts w:ascii="Arial"/>
          <w:w w:val="85"/>
          <w:sz w:val="28"/>
        </w:rPr>
        <w:t>in</w:t>
      </w:r>
      <w:r>
        <w:rPr>
          <w:rFonts w:ascii="Arial"/>
          <w:spacing w:val="-33"/>
          <w:w w:val="85"/>
          <w:sz w:val="28"/>
        </w:rPr>
        <w:t> </w:t>
      </w:r>
      <w:r>
        <w:rPr>
          <w:rFonts w:ascii="Arial"/>
          <w:w w:val="85"/>
          <w:sz w:val="28"/>
        </w:rPr>
        <w:t>targeted</w:t>
      </w:r>
      <w:r>
        <w:rPr>
          <w:rFonts w:ascii="Arial"/>
          <w:spacing w:val="-34"/>
          <w:w w:val="85"/>
          <w:sz w:val="28"/>
        </w:rPr>
        <w:t> </w:t>
      </w:r>
      <w:r>
        <w:rPr>
          <w:rFonts w:ascii="Arial"/>
          <w:w w:val="85"/>
          <w:sz w:val="28"/>
        </w:rPr>
        <w:t>areas</w:t>
      </w:r>
    </w:p>
    <w:p>
      <w:pPr>
        <w:spacing w:before="168"/>
        <w:ind w:left="1700" w:right="0" w:firstLine="0"/>
        <w:jc w:val="left"/>
        <w:rPr>
          <w:rFonts w:ascii="Arial"/>
          <w:sz w:val="28"/>
        </w:rPr>
      </w:pPr>
      <w:r>
        <w:rPr>
          <w:rFonts w:ascii="Arial"/>
          <w:color w:val="00C0F3"/>
          <w:w w:val="90"/>
          <w:sz w:val="28"/>
        </w:rPr>
        <w:t>Deliverable:</w:t>
      </w:r>
    </w:p>
    <w:p>
      <w:pPr>
        <w:spacing w:line="268" w:lineRule="auto" w:before="38"/>
        <w:ind w:left="1700" w:right="191" w:firstLine="0"/>
        <w:jc w:val="left"/>
        <w:rPr>
          <w:rFonts w:ascii="Arial"/>
          <w:sz w:val="28"/>
        </w:rPr>
      </w:pPr>
      <w:r>
        <w:rPr>
          <w:rFonts w:ascii="Arial"/>
          <w:w w:val="85"/>
          <w:sz w:val="28"/>
        </w:rPr>
        <w:t>(D2.1) Identify opportunities to share</w:t>
      </w:r>
      <w:r>
        <w:rPr>
          <w:rFonts w:ascii="Arial"/>
          <w:spacing w:val="-41"/>
          <w:w w:val="85"/>
          <w:sz w:val="28"/>
        </w:rPr>
        <w:t> </w:t>
      </w:r>
      <w:r>
        <w:rPr>
          <w:rFonts w:ascii="Arial"/>
          <w:w w:val="85"/>
          <w:sz w:val="28"/>
        </w:rPr>
        <w:t>best</w:t>
      </w:r>
      <w:r>
        <w:rPr>
          <w:rFonts w:ascii="Arial"/>
          <w:spacing w:val="-40"/>
          <w:w w:val="85"/>
          <w:sz w:val="28"/>
        </w:rPr>
        <w:t> </w:t>
      </w:r>
      <w:r>
        <w:rPr>
          <w:rFonts w:ascii="Arial"/>
          <w:w w:val="85"/>
          <w:sz w:val="28"/>
        </w:rPr>
        <w:t>practice</w:t>
      </w:r>
      <w:r>
        <w:rPr>
          <w:rFonts w:ascii="Arial"/>
          <w:spacing w:val="-40"/>
          <w:w w:val="85"/>
          <w:sz w:val="28"/>
        </w:rPr>
        <w:t> </w:t>
      </w:r>
      <w:r>
        <w:rPr>
          <w:rFonts w:ascii="Arial"/>
          <w:w w:val="85"/>
          <w:sz w:val="28"/>
        </w:rPr>
        <w:t>for</w:t>
      </w:r>
      <w:r>
        <w:rPr>
          <w:rFonts w:ascii="Arial"/>
          <w:spacing w:val="-40"/>
          <w:w w:val="85"/>
          <w:sz w:val="28"/>
        </w:rPr>
        <w:t> </w:t>
      </w:r>
      <w:r>
        <w:rPr>
          <w:rFonts w:ascii="Arial"/>
          <w:w w:val="85"/>
          <w:sz w:val="28"/>
        </w:rPr>
        <w:t>initiatives related</w:t>
      </w:r>
      <w:r>
        <w:rPr>
          <w:rFonts w:ascii="Arial"/>
          <w:spacing w:val="-37"/>
          <w:w w:val="85"/>
          <w:sz w:val="28"/>
        </w:rPr>
        <w:t> </w:t>
      </w:r>
      <w:r>
        <w:rPr>
          <w:rFonts w:ascii="Arial"/>
          <w:w w:val="85"/>
          <w:sz w:val="28"/>
        </w:rPr>
        <w:t>to</w:t>
      </w:r>
      <w:r>
        <w:rPr>
          <w:rFonts w:ascii="Arial"/>
          <w:spacing w:val="-36"/>
          <w:w w:val="85"/>
          <w:sz w:val="28"/>
        </w:rPr>
        <w:t> </w:t>
      </w:r>
      <w:r>
        <w:rPr>
          <w:rFonts w:ascii="Arial"/>
          <w:w w:val="85"/>
          <w:sz w:val="28"/>
        </w:rPr>
        <w:t>the</w:t>
      </w:r>
      <w:r>
        <w:rPr>
          <w:rFonts w:ascii="Arial"/>
          <w:spacing w:val="-37"/>
          <w:w w:val="85"/>
          <w:sz w:val="28"/>
        </w:rPr>
        <w:t> </w:t>
      </w:r>
      <w:r>
        <w:rPr>
          <w:rFonts w:ascii="Arial"/>
          <w:w w:val="85"/>
          <w:sz w:val="28"/>
        </w:rPr>
        <w:t>safe</w:t>
      </w:r>
      <w:r>
        <w:rPr>
          <w:rFonts w:ascii="Arial"/>
          <w:spacing w:val="-36"/>
          <w:w w:val="85"/>
          <w:sz w:val="28"/>
        </w:rPr>
        <w:t> </w:t>
      </w:r>
      <w:r>
        <w:rPr>
          <w:rFonts w:ascii="Arial"/>
          <w:w w:val="85"/>
          <w:sz w:val="28"/>
        </w:rPr>
        <w:t>management of asbestos such as licensing, </w:t>
      </w:r>
      <w:r>
        <w:rPr>
          <w:rFonts w:ascii="Arial"/>
          <w:w w:val="90"/>
          <w:sz w:val="28"/>
        </w:rPr>
        <w:t>education,</w:t>
      </w:r>
      <w:r>
        <w:rPr>
          <w:rFonts w:ascii="Arial"/>
          <w:spacing w:val="-44"/>
          <w:w w:val="90"/>
          <w:sz w:val="28"/>
        </w:rPr>
        <w:t> </w:t>
      </w:r>
      <w:r>
        <w:rPr>
          <w:rFonts w:ascii="Arial"/>
          <w:w w:val="90"/>
          <w:sz w:val="28"/>
        </w:rPr>
        <w:t>training</w:t>
      </w:r>
      <w:r>
        <w:rPr>
          <w:rFonts w:ascii="Arial"/>
          <w:spacing w:val="-43"/>
          <w:w w:val="90"/>
          <w:sz w:val="28"/>
        </w:rPr>
        <w:t> </w:t>
      </w:r>
      <w:r>
        <w:rPr>
          <w:rFonts w:ascii="Arial"/>
          <w:w w:val="90"/>
          <w:sz w:val="28"/>
        </w:rPr>
        <w:t>and</w:t>
      </w:r>
      <w:r>
        <w:rPr>
          <w:rFonts w:ascii="Arial"/>
          <w:spacing w:val="-44"/>
          <w:w w:val="90"/>
          <w:sz w:val="28"/>
        </w:rPr>
        <w:t> </w:t>
      </w:r>
      <w:r>
        <w:rPr>
          <w:rFonts w:ascii="Arial"/>
          <w:w w:val="90"/>
          <w:sz w:val="28"/>
        </w:rPr>
        <w:t>home </w:t>
      </w:r>
      <w:r>
        <w:rPr>
          <w:rFonts w:ascii="Arial"/>
          <w:w w:val="85"/>
          <w:sz w:val="28"/>
        </w:rPr>
        <w:t>renovations where ACMs may </w:t>
      </w:r>
      <w:r>
        <w:rPr>
          <w:rFonts w:ascii="Arial"/>
          <w:w w:val="90"/>
          <w:sz w:val="28"/>
        </w:rPr>
        <w:t>be</w:t>
      </w:r>
      <w:r>
        <w:rPr>
          <w:rFonts w:ascii="Arial"/>
          <w:spacing w:val="-2"/>
          <w:w w:val="90"/>
          <w:sz w:val="28"/>
        </w:rPr>
        <w:t> </w:t>
      </w:r>
      <w:r>
        <w:rPr>
          <w:rFonts w:ascii="Arial"/>
          <w:w w:val="90"/>
          <w:sz w:val="28"/>
        </w:rPr>
        <w:t>present</w:t>
      </w:r>
    </w:p>
    <w:p>
      <w:pPr>
        <w:spacing w:line="268" w:lineRule="auto" w:before="126"/>
        <w:ind w:left="1700" w:right="1314" w:firstLine="0"/>
        <w:jc w:val="left"/>
        <w:rPr>
          <w:rFonts w:ascii="Arial"/>
          <w:sz w:val="28"/>
        </w:rPr>
      </w:pPr>
      <w:r>
        <w:rPr>
          <w:rFonts w:ascii="Arial"/>
          <w:color w:val="00C0F3"/>
          <w:w w:val="90"/>
          <w:sz w:val="28"/>
        </w:rPr>
        <w:t>Location: </w:t>
      </w:r>
      <w:r>
        <w:rPr>
          <w:rFonts w:ascii="Arial"/>
          <w:w w:val="75"/>
          <w:sz w:val="28"/>
        </w:rPr>
        <w:t>Queensland</w:t>
      </w:r>
    </w:p>
    <w:p>
      <w:pPr>
        <w:pStyle w:val="BodyText"/>
        <w:rPr>
          <w:rFonts w:ascii="Arial"/>
          <w:sz w:val="32"/>
        </w:rPr>
      </w:pPr>
      <w:r>
        <w:rPr/>
        <w:br w:type="column"/>
      </w:r>
      <w:r>
        <w:rPr>
          <w:rFonts w:ascii="Arial"/>
          <w:sz w:val="32"/>
        </w:rPr>
      </w:r>
    </w:p>
    <w:p>
      <w:pPr>
        <w:pStyle w:val="BodyText"/>
        <w:rPr>
          <w:rFonts w:ascii="Arial"/>
          <w:sz w:val="32"/>
        </w:rPr>
      </w:pPr>
    </w:p>
    <w:p>
      <w:pPr>
        <w:pStyle w:val="BodyText"/>
        <w:spacing w:before="10"/>
        <w:rPr>
          <w:rFonts w:ascii="Arial"/>
          <w:sz w:val="38"/>
        </w:rPr>
      </w:pPr>
    </w:p>
    <w:p>
      <w:pPr>
        <w:spacing w:before="1"/>
        <w:ind w:left="989" w:right="0" w:firstLine="0"/>
        <w:jc w:val="left"/>
        <w:rPr>
          <w:rFonts w:ascii="Arial"/>
          <w:sz w:val="28"/>
        </w:rPr>
      </w:pPr>
      <w:r>
        <w:rPr>
          <w:rFonts w:ascii="Arial"/>
          <w:w w:val="90"/>
          <w:sz w:val="28"/>
        </w:rPr>
        <w:t>The issue</w:t>
      </w:r>
    </w:p>
    <w:p>
      <w:pPr>
        <w:pStyle w:val="BodyText"/>
        <w:spacing w:line="283" w:lineRule="auto" w:before="158"/>
        <w:ind w:left="989" w:right="345"/>
        <w:jc w:val="both"/>
      </w:pPr>
      <w:r>
        <w:rPr/>
        <w:t>The</w:t>
      </w:r>
      <w:r>
        <w:rPr>
          <w:spacing w:val="-16"/>
        </w:rPr>
        <w:t> </w:t>
      </w:r>
      <w:r>
        <w:rPr/>
        <w:t>Office</w:t>
      </w:r>
      <w:r>
        <w:rPr>
          <w:spacing w:val="-16"/>
        </w:rPr>
        <w:t> </w:t>
      </w:r>
      <w:r>
        <w:rPr/>
        <w:t>of</w:t>
      </w:r>
      <w:r>
        <w:rPr>
          <w:spacing w:val="-16"/>
        </w:rPr>
        <w:t> </w:t>
      </w:r>
      <w:r>
        <w:rPr/>
        <w:t>Industrial</w:t>
      </w:r>
      <w:r>
        <w:rPr>
          <w:spacing w:val="-16"/>
        </w:rPr>
        <w:t> </w:t>
      </w:r>
      <w:r>
        <w:rPr/>
        <w:t>Relations</w:t>
      </w:r>
      <w:r>
        <w:rPr>
          <w:spacing w:val="-16"/>
        </w:rPr>
        <w:t> </w:t>
      </w:r>
      <w:r>
        <w:rPr/>
        <w:t>(OIR)</w:t>
      </w:r>
      <w:r>
        <w:rPr>
          <w:spacing w:val="-16"/>
        </w:rPr>
        <w:t> </w:t>
      </w:r>
      <w:r>
        <w:rPr/>
        <w:t>commenced the</w:t>
      </w:r>
      <w:r>
        <w:rPr>
          <w:spacing w:val="-12"/>
        </w:rPr>
        <w:t> </w:t>
      </w:r>
      <w:r>
        <w:rPr/>
        <w:t>Licensed</w:t>
      </w:r>
      <w:r>
        <w:rPr>
          <w:spacing w:val="-12"/>
        </w:rPr>
        <w:t> </w:t>
      </w:r>
      <w:r>
        <w:rPr/>
        <w:t>Asbestos</w:t>
      </w:r>
      <w:r>
        <w:rPr>
          <w:spacing w:val="-12"/>
        </w:rPr>
        <w:t> </w:t>
      </w:r>
      <w:r>
        <w:rPr/>
        <w:t>Removalist</w:t>
      </w:r>
      <w:r>
        <w:rPr>
          <w:spacing w:val="-12"/>
        </w:rPr>
        <w:t> </w:t>
      </w:r>
      <w:r>
        <w:rPr/>
        <w:t>program,</w:t>
      </w:r>
      <w:r>
        <w:rPr>
          <w:spacing w:val="-12"/>
        </w:rPr>
        <w:t> </w:t>
      </w:r>
      <w:r>
        <w:rPr/>
        <w:t>as</w:t>
      </w:r>
      <w:r>
        <w:rPr>
          <w:spacing w:val="-12"/>
        </w:rPr>
        <w:t> </w:t>
      </w:r>
      <w:r>
        <w:rPr/>
        <w:t>part of</w:t>
      </w:r>
      <w:r>
        <w:rPr>
          <w:spacing w:val="-15"/>
        </w:rPr>
        <w:t> </w:t>
      </w:r>
      <w:r>
        <w:rPr/>
        <w:t>the</w:t>
      </w:r>
      <w:r>
        <w:rPr>
          <w:spacing w:val="-14"/>
        </w:rPr>
        <w:t> </w:t>
      </w:r>
      <w:r>
        <w:rPr/>
        <w:t>Robust</w:t>
      </w:r>
      <w:r>
        <w:rPr>
          <w:spacing w:val="-14"/>
        </w:rPr>
        <w:t> </w:t>
      </w:r>
      <w:r>
        <w:rPr/>
        <w:t>Asbestos</w:t>
      </w:r>
      <w:r>
        <w:rPr>
          <w:spacing w:val="-14"/>
        </w:rPr>
        <w:t> </w:t>
      </w:r>
      <w:r>
        <w:rPr/>
        <w:t>Regulator</w:t>
      </w:r>
      <w:r>
        <w:rPr>
          <w:spacing w:val="-14"/>
        </w:rPr>
        <w:t> </w:t>
      </w:r>
      <w:r>
        <w:rPr/>
        <w:t>Project,</w:t>
      </w:r>
      <w:r>
        <w:rPr>
          <w:spacing w:val="-15"/>
        </w:rPr>
        <w:t> </w:t>
      </w:r>
      <w:r>
        <w:rPr/>
        <w:t>targeting the</w:t>
      </w:r>
      <w:r>
        <w:rPr>
          <w:spacing w:val="-12"/>
        </w:rPr>
        <w:t> </w:t>
      </w:r>
      <w:r>
        <w:rPr/>
        <w:t>risk</w:t>
      </w:r>
      <w:r>
        <w:rPr>
          <w:spacing w:val="-12"/>
        </w:rPr>
        <w:t> </w:t>
      </w:r>
      <w:r>
        <w:rPr/>
        <w:t>of</w:t>
      </w:r>
      <w:r>
        <w:rPr>
          <w:spacing w:val="-11"/>
        </w:rPr>
        <w:t> </w:t>
      </w:r>
      <w:r>
        <w:rPr/>
        <w:t>exposure</w:t>
      </w:r>
      <w:r>
        <w:rPr>
          <w:spacing w:val="-12"/>
        </w:rPr>
        <w:t> </w:t>
      </w:r>
      <w:r>
        <w:rPr/>
        <w:t>to</w:t>
      </w:r>
      <w:r>
        <w:rPr>
          <w:spacing w:val="-11"/>
        </w:rPr>
        <w:t> </w:t>
      </w:r>
      <w:r>
        <w:rPr/>
        <w:t>asbestos</w:t>
      </w:r>
      <w:r>
        <w:rPr>
          <w:spacing w:val="-12"/>
        </w:rPr>
        <w:t> </w:t>
      </w:r>
      <w:r>
        <w:rPr/>
        <w:t>in</w:t>
      </w:r>
      <w:r>
        <w:rPr>
          <w:spacing w:val="-11"/>
        </w:rPr>
        <w:t> </w:t>
      </w:r>
      <w:r>
        <w:rPr/>
        <w:t>the</w:t>
      </w:r>
      <w:r>
        <w:rPr>
          <w:spacing w:val="-12"/>
        </w:rPr>
        <w:t> </w:t>
      </w:r>
      <w:r>
        <w:rPr/>
        <w:t>community.</w:t>
      </w:r>
    </w:p>
    <w:p>
      <w:pPr>
        <w:pStyle w:val="BodyText"/>
        <w:spacing w:line="283" w:lineRule="auto" w:before="3"/>
        <w:ind w:left="989" w:right="125"/>
      </w:pPr>
      <w:r>
        <w:rPr/>
        <w:t>This</w:t>
      </w:r>
      <w:r>
        <w:rPr>
          <w:spacing w:val="-15"/>
        </w:rPr>
        <w:t> </w:t>
      </w:r>
      <w:r>
        <w:rPr/>
        <w:t>gives</w:t>
      </w:r>
      <w:r>
        <w:rPr>
          <w:spacing w:val="-15"/>
        </w:rPr>
        <w:t> </w:t>
      </w:r>
      <w:r>
        <w:rPr>
          <w:spacing w:val="2"/>
        </w:rPr>
        <w:t>effect</w:t>
      </w:r>
      <w:r>
        <w:rPr>
          <w:spacing w:val="-15"/>
        </w:rPr>
        <w:t> </w:t>
      </w:r>
      <w:r>
        <w:rPr/>
        <w:t>to</w:t>
      </w:r>
      <w:r>
        <w:rPr>
          <w:spacing w:val="-14"/>
        </w:rPr>
        <w:t> </w:t>
      </w:r>
      <w:r>
        <w:rPr/>
        <w:t>a</w:t>
      </w:r>
      <w:r>
        <w:rPr>
          <w:spacing w:val="-15"/>
        </w:rPr>
        <w:t> </w:t>
      </w:r>
      <w:r>
        <w:rPr/>
        <w:t>key</w:t>
      </w:r>
      <w:r>
        <w:rPr>
          <w:spacing w:val="-15"/>
        </w:rPr>
        <w:t> </w:t>
      </w:r>
      <w:r>
        <w:rPr/>
        <w:t>initiative</w:t>
      </w:r>
      <w:r>
        <w:rPr>
          <w:spacing w:val="-15"/>
        </w:rPr>
        <w:t> </w:t>
      </w:r>
      <w:r>
        <w:rPr/>
        <w:t>under</w:t>
      </w:r>
      <w:r>
        <w:rPr>
          <w:spacing w:val="-14"/>
        </w:rPr>
        <w:t> </w:t>
      </w:r>
      <w:r>
        <w:rPr/>
        <w:t>the</w:t>
      </w:r>
      <w:r>
        <w:rPr>
          <w:spacing w:val="-15"/>
        </w:rPr>
        <w:t> </w:t>
      </w:r>
      <w:r>
        <w:rPr/>
        <w:t>Statewide Strategic</w:t>
      </w:r>
      <w:r>
        <w:rPr>
          <w:spacing w:val="-10"/>
        </w:rPr>
        <w:t> </w:t>
      </w:r>
      <w:r>
        <w:rPr/>
        <w:t>Plan</w:t>
      </w:r>
      <w:r>
        <w:rPr>
          <w:spacing w:val="-10"/>
        </w:rPr>
        <w:t> </w:t>
      </w:r>
      <w:r>
        <w:rPr/>
        <w:t>for</w:t>
      </w:r>
      <w:r>
        <w:rPr>
          <w:spacing w:val="-10"/>
        </w:rPr>
        <w:t> </w:t>
      </w:r>
      <w:r>
        <w:rPr/>
        <w:t>the</w:t>
      </w:r>
      <w:r>
        <w:rPr>
          <w:spacing w:val="-10"/>
        </w:rPr>
        <w:t> </w:t>
      </w:r>
      <w:r>
        <w:rPr/>
        <w:t>Safe</w:t>
      </w:r>
      <w:r>
        <w:rPr>
          <w:spacing w:val="-10"/>
        </w:rPr>
        <w:t> </w:t>
      </w:r>
      <w:r>
        <w:rPr/>
        <w:t>Management</w:t>
      </w:r>
      <w:r>
        <w:rPr>
          <w:spacing w:val="-10"/>
        </w:rPr>
        <w:t> </w:t>
      </w:r>
      <w:r>
        <w:rPr/>
        <w:t>of</w:t>
      </w:r>
      <w:r>
        <w:rPr>
          <w:spacing w:val="-10"/>
        </w:rPr>
        <w:t> </w:t>
      </w:r>
      <w:r>
        <w:rPr/>
        <w:t>Asbestos</w:t>
      </w:r>
    </w:p>
    <w:p>
      <w:pPr>
        <w:spacing w:line="283" w:lineRule="auto" w:before="1"/>
        <w:ind w:left="989" w:right="508" w:firstLine="0"/>
        <w:jc w:val="left"/>
        <w:rPr>
          <w:sz w:val="18"/>
        </w:rPr>
      </w:pPr>
      <w:r>
        <w:rPr>
          <w:sz w:val="18"/>
        </w:rPr>
        <w:t>in Queensland </w:t>
      </w:r>
      <w:r>
        <w:rPr>
          <w:spacing w:val="-5"/>
          <w:sz w:val="18"/>
        </w:rPr>
        <w:t>2014–2019: </w:t>
      </w:r>
      <w:r>
        <w:rPr>
          <w:sz w:val="18"/>
        </w:rPr>
        <w:t>to strengthen the administration of asbestos licensing under the </w:t>
      </w:r>
      <w:r>
        <w:rPr>
          <w:i/>
          <w:sz w:val="18"/>
        </w:rPr>
        <w:t>Work</w:t>
      </w:r>
      <w:r>
        <w:rPr>
          <w:i/>
          <w:spacing w:val="-30"/>
          <w:sz w:val="18"/>
        </w:rPr>
        <w:t> </w:t>
      </w:r>
      <w:r>
        <w:rPr>
          <w:i/>
          <w:sz w:val="18"/>
        </w:rPr>
        <w:t>Health</w:t>
      </w:r>
      <w:r>
        <w:rPr>
          <w:i/>
          <w:spacing w:val="-29"/>
          <w:sz w:val="18"/>
        </w:rPr>
        <w:t> </w:t>
      </w:r>
      <w:r>
        <w:rPr>
          <w:i/>
          <w:sz w:val="18"/>
        </w:rPr>
        <w:t>and</w:t>
      </w:r>
      <w:r>
        <w:rPr>
          <w:i/>
          <w:spacing w:val="-29"/>
          <w:sz w:val="18"/>
        </w:rPr>
        <w:t> </w:t>
      </w:r>
      <w:r>
        <w:rPr>
          <w:i/>
          <w:sz w:val="18"/>
        </w:rPr>
        <w:t>Safety</w:t>
      </w:r>
      <w:r>
        <w:rPr>
          <w:i/>
          <w:spacing w:val="-29"/>
          <w:sz w:val="18"/>
        </w:rPr>
        <w:t> </w:t>
      </w:r>
      <w:r>
        <w:rPr>
          <w:i/>
          <w:sz w:val="18"/>
        </w:rPr>
        <w:t>Act</w:t>
      </w:r>
      <w:r>
        <w:rPr>
          <w:i/>
          <w:spacing w:val="-29"/>
          <w:sz w:val="18"/>
        </w:rPr>
        <w:t> </w:t>
      </w:r>
      <w:r>
        <w:rPr>
          <w:i/>
          <w:spacing w:val="-10"/>
          <w:sz w:val="18"/>
        </w:rPr>
        <w:t>2011</w:t>
      </w:r>
      <w:r>
        <w:rPr>
          <w:spacing w:val="-10"/>
          <w:sz w:val="18"/>
        </w:rPr>
        <w:t>,</w:t>
      </w:r>
      <w:r>
        <w:rPr>
          <w:spacing w:val="-27"/>
          <w:sz w:val="18"/>
        </w:rPr>
        <w:t> </w:t>
      </w:r>
      <w:r>
        <w:rPr>
          <w:sz w:val="18"/>
        </w:rPr>
        <w:t>by</w:t>
      </w:r>
      <w:r>
        <w:rPr>
          <w:spacing w:val="-26"/>
          <w:sz w:val="18"/>
        </w:rPr>
        <w:t> </w:t>
      </w:r>
      <w:r>
        <w:rPr>
          <w:sz w:val="18"/>
        </w:rPr>
        <w:t>implementing</w:t>
      </w:r>
    </w:p>
    <w:p>
      <w:pPr>
        <w:pStyle w:val="BodyText"/>
        <w:spacing w:line="283" w:lineRule="auto" w:before="2"/>
        <w:ind w:left="989" w:right="391"/>
      </w:pPr>
      <w:r>
        <w:rPr/>
        <w:t>a</w:t>
      </w:r>
      <w:r>
        <w:rPr>
          <w:spacing w:val="-10"/>
        </w:rPr>
        <w:t> </w:t>
      </w:r>
      <w:r>
        <w:rPr/>
        <w:t>process</w:t>
      </w:r>
      <w:r>
        <w:rPr>
          <w:spacing w:val="-9"/>
        </w:rPr>
        <w:t> </w:t>
      </w:r>
      <w:r>
        <w:rPr/>
        <w:t>for</w:t>
      </w:r>
      <w:r>
        <w:rPr>
          <w:spacing w:val="-9"/>
        </w:rPr>
        <w:t> </w:t>
      </w:r>
      <w:r>
        <w:rPr/>
        <w:t>suspending</w:t>
      </w:r>
      <w:r>
        <w:rPr>
          <w:spacing w:val="-9"/>
        </w:rPr>
        <w:t> </w:t>
      </w:r>
      <w:r>
        <w:rPr/>
        <w:t>or</w:t>
      </w:r>
      <w:r>
        <w:rPr>
          <w:spacing w:val="-10"/>
        </w:rPr>
        <w:t> </w:t>
      </w:r>
      <w:r>
        <w:rPr/>
        <w:t>cancelling</w:t>
      </w:r>
      <w:r>
        <w:rPr>
          <w:spacing w:val="-9"/>
        </w:rPr>
        <w:t> </w:t>
      </w:r>
      <w:r>
        <w:rPr/>
        <w:t>an</w:t>
      </w:r>
      <w:r>
        <w:rPr>
          <w:spacing w:val="-9"/>
        </w:rPr>
        <w:t> </w:t>
      </w:r>
      <w:r>
        <w:rPr/>
        <w:t>asbestos license</w:t>
      </w:r>
      <w:r>
        <w:rPr>
          <w:spacing w:val="-17"/>
        </w:rPr>
        <w:t> </w:t>
      </w:r>
      <w:r>
        <w:rPr/>
        <w:t>where</w:t>
      </w:r>
      <w:r>
        <w:rPr>
          <w:spacing w:val="-17"/>
        </w:rPr>
        <w:t> </w:t>
      </w:r>
      <w:r>
        <w:rPr/>
        <w:t>a</w:t>
      </w:r>
      <w:r>
        <w:rPr>
          <w:spacing w:val="-17"/>
        </w:rPr>
        <w:t> </w:t>
      </w:r>
      <w:r>
        <w:rPr/>
        <w:t>holder</w:t>
      </w:r>
      <w:r>
        <w:rPr>
          <w:spacing w:val="-16"/>
        </w:rPr>
        <w:t> </w:t>
      </w:r>
      <w:r>
        <w:rPr/>
        <w:t>contravenes</w:t>
      </w:r>
      <w:r>
        <w:rPr>
          <w:spacing w:val="-17"/>
        </w:rPr>
        <w:t> </w:t>
      </w:r>
      <w:r>
        <w:rPr/>
        <w:t>the</w:t>
      </w:r>
      <w:r>
        <w:rPr>
          <w:spacing w:val="-17"/>
        </w:rPr>
        <w:t> </w:t>
      </w:r>
      <w:r>
        <w:rPr/>
        <w:t>legislation.</w:t>
      </w:r>
    </w:p>
    <w:p>
      <w:pPr>
        <w:pStyle w:val="BodyText"/>
        <w:spacing w:line="283" w:lineRule="auto" w:before="131"/>
        <w:ind w:left="989"/>
      </w:pPr>
      <w:r>
        <w:rPr/>
        <w:t>OIR ensures that the community can be confident in Queensland’s asbestos removalist licensing regime by taking</w:t>
      </w:r>
      <w:r>
        <w:rPr>
          <w:spacing w:val="-10"/>
        </w:rPr>
        <w:t> </w:t>
      </w:r>
      <w:r>
        <w:rPr/>
        <w:t>action</w:t>
      </w:r>
      <w:r>
        <w:rPr>
          <w:spacing w:val="-9"/>
        </w:rPr>
        <w:t> </w:t>
      </w:r>
      <w:r>
        <w:rPr/>
        <w:t>to</w:t>
      </w:r>
      <w:r>
        <w:rPr>
          <w:spacing w:val="-9"/>
        </w:rPr>
        <w:t> </w:t>
      </w:r>
      <w:r>
        <w:rPr/>
        <w:t>cancel</w:t>
      </w:r>
      <w:r>
        <w:rPr>
          <w:spacing w:val="-10"/>
        </w:rPr>
        <w:t> </w:t>
      </w:r>
      <w:r>
        <w:rPr/>
        <w:t>or</w:t>
      </w:r>
      <w:r>
        <w:rPr>
          <w:spacing w:val="-9"/>
        </w:rPr>
        <w:t> </w:t>
      </w:r>
      <w:r>
        <w:rPr/>
        <w:t>suspend</w:t>
      </w:r>
      <w:r>
        <w:rPr>
          <w:spacing w:val="-9"/>
        </w:rPr>
        <w:t> </w:t>
      </w:r>
      <w:r>
        <w:rPr/>
        <w:t>an</w:t>
      </w:r>
      <w:r>
        <w:rPr>
          <w:spacing w:val="-9"/>
        </w:rPr>
        <w:t> </w:t>
      </w:r>
      <w:r>
        <w:rPr/>
        <w:t>asbestos</w:t>
      </w:r>
      <w:r>
        <w:rPr>
          <w:spacing w:val="-10"/>
        </w:rPr>
        <w:t> </w:t>
      </w:r>
      <w:r>
        <w:rPr/>
        <w:t>removal licence where there is evidence a removalist has not demonstrated safe and competent asbestos removal practices (see example shown in Figure</w:t>
      </w:r>
      <w:r>
        <w:rPr>
          <w:spacing w:val="-26"/>
        </w:rPr>
        <w:t> </w:t>
      </w:r>
      <w:r>
        <w:rPr>
          <w:spacing w:val="-4"/>
        </w:rPr>
        <w:t>20).</w:t>
      </w:r>
    </w:p>
    <w:p>
      <w:pPr>
        <w:pStyle w:val="Heading1"/>
        <w:spacing w:before="144"/>
        <w:ind w:left="989"/>
      </w:pPr>
      <w:r>
        <w:rPr>
          <w:w w:val="90"/>
        </w:rPr>
        <w:t>Action taken</w:t>
      </w:r>
    </w:p>
    <w:p>
      <w:pPr>
        <w:pStyle w:val="BodyText"/>
        <w:spacing w:line="283" w:lineRule="auto" w:before="159"/>
        <w:ind w:left="989" w:right="30"/>
      </w:pPr>
      <w:r>
        <w:rPr/>
        <w:t>OIR inspectors record details of their findings on OIR’s compliance history database when conducting routine audits, or responding to complaints of poor removal practices</w:t>
      </w:r>
      <w:r>
        <w:rPr>
          <w:spacing w:val="-20"/>
        </w:rPr>
        <w:t> </w:t>
      </w:r>
      <w:r>
        <w:rPr/>
        <w:t>of</w:t>
      </w:r>
      <w:r>
        <w:rPr>
          <w:spacing w:val="-20"/>
        </w:rPr>
        <w:t> </w:t>
      </w:r>
      <w:r>
        <w:rPr/>
        <w:t>licensed</w:t>
      </w:r>
      <w:r>
        <w:rPr>
          <w:spacing w:val="-19"/>
        </w:rPr>
        <w:t> </w:t>
      </w:r>
      <w:r>
        <w:rPr/>
        <w:t>asbestos</w:t>
      </w:r>
      <w:r>
        <w:rPr>
          <w:spacing w:val="-20"/>
        </w:rPr>
        <w:t> </w:t>
      </w:r>
      <w:r>
        <w:rPr/>
        <w:t>removalists.</w:t>
      </w:r>
      <w:r>
        <w:rPr>
          <w:spacing w:val="-20"/>
        </w:rPr>
        <w:t> </w:t>
      </w:r>
      <w:r>
        <w:rPr/>
        <w:t>These</w:t>
      </w:r>
      <w:r>
        <w:rPr>
          <w:spacing w:val="-19"/>
        </w:rPr>
        <w:t> </w:t>
      </w:r>
      <w:r>
        <w:rPr/>
        <w:t>details include</w:t>
      </w:r>
      <w:r>
        <w:rPr>
          <w:spacing w:val="-11"/>
        </w:rPr>
        <w:t> </w:t>
      </w:r>
      <w:r>
        <w:rPr/>
        <w:t>interventions</w:t>
      </w:r>
      <w:r>
        <w:rPr>
          <w:spacing w:val="-11"/>
        </w:rPr>
        <w:t> </w:t>
      </w:r>
      <w:r>
        <w:rPr/>
        <w:t>and</w:t>
      </w:r>
      <w:r>
        <w:rPr>
          <w:spacing w:val="-11"/>
        </w:rPr>
        <w:t> </w:t>
      </w:r>
      <w:r>
        <w:rPr/>
        <w:t>any</w:t>
      </w:r>
      <w:r>
        <w:rPr>
          <w:spacing w:val="-11"/>
        </w:rPr>
        <w:t> </w:t>
      </w:r>
      <w:r>
        <w:rPr/>
        <w:t>compliance</w:t>
      </w:r>
      <w:r>
        <w:rPr>
          <w:spacing w:val="-11"/>
        </w:rPr>
        <w:t> </w:t>
      </w:r>
      <w:r>
        <w:rPr/>
        <w:t>action</w:t>
      </w:r>
      <w:r>
        <w:rPr>
          <w:spacing w:val="-10"/>
        </w:rPr>
        <w:t> </w:t>
      </w:r>
      <w:r>
        <w:rPr/>
        <w:t>taken against the licence holder, plus</w:t>
      </w:r>
      <w:r>
        <w:rPr>
          <w:spacing w:val="-25"/>
        </w:rPr>
        <w:t> </w:t>
      </w:r>
      <w:r>
        <w:rPr/>
        <w:t>improvement</w:t>
      </w:r>
    </w:p>
    <w:p>
      <w:pPr>
        <w:pStyle w:val="BodyText"/>
        <w:spacing w:before="4"/>
        <w:ind w:left="989"/>
      </w:pPr>
      <w:r>
        <w:rPr/>
        <w:t>or prohibition notices that were issued.</w:t>
      </w:r>
    </w:p>
    <w:p>
      <w:pPr>
        <w:pStyle w:val="BodyText"/>
        <w:spacing w:line="283" w:lineRule="auto" w:before="171"/>
        <w:ind w:left="989" w:right="382"/>
      </w:pPr>
      <w:r>
        <w:rPr/>
        <w:t>Every</w:t>
      </w:r>
      <w:r>
        <w:rPr>
          <w:spacing w:val="-21"/>
        </w:rPr>
        <w:t> </w:t>
      </w:r>
      <w:r>
        <w:rPr>
          <w:spacing w:val="-3"/>
        </w:rPr>
        <w:t>year,</w:t>
      </w:r>
      <w:r>
        <w:rPr>
          <w:spacing w:val="-21"/>
        </w:rPr>
        <w:t> </w:t>
      </w:r>
      <w:r>
        <w:rPr/>
        <w:t>OIR</w:t>
      </w:r>
      <w:r>
        <w:rPr>
          <w:spacing w:val="-21"/>
        </w:rPr>
        <w:t> </w:t>
      </w:r>
      <w:r>
        <w:rPr/>
        <w:t>interrogates</w:t>
      </w:r>
      <w:r>
        <w:rPr>
          <w:spacing w:val="-21"/>
        </w:rPr>
        <w:t> </w:t>
      </w:r>
      <w:r>
        <w:rPr/>
        <w:t>the</w:t>
      </w:r>
      <w:r>
        <w:rPr>
          <w:spacing w:val="-21"/>
        </w:rPr>
        <w:t> </w:t>
      </w:r>
      <w:r>
        <w:rPr/>
        <w:t>compliance</w:t>
      </w:r>
      <w:r>
        <w:rPr>
          <w:spacing w:val="-20"/>
        </w:rPr>
        <w:t> </w:t>
      </w:r>
      <w:r>
        <w:rPr/>
        <w:t>history database to identify those licence holders who have</w:t>
      </w:r>
      <w:r>
        <w:rPr>
          <w:spacing w:val="-10"/>
        </w:rPr>
        <w:t> </w:t>
      </w:r>
      <w:r>
        <w:rPr/>
        <w:t>repeated</w:t>
      </w:r>
      <w:r>
        <w:rPr>
          <w:spacing w:val="-9"/>
        </w:rPr>
        <w:t> </w:t>
      </w:r>
      <w:r>
        <w:rPr/>
        <w:t>non-compliance</w:t>
      </w:r>
      <w:r>
        <w:rPr>
          <w:spacing w:val="-9"/>
        </w:rPr>
        <w:t> </w:t>
      </w:r>
      <w:r>
        <w:rPr/>
        <w:t>with</w:t>
      </w:r>
      <w:r>
        <w:rPr>
          <w:spacing w:val="-9"/>
        </w:rPr>
        <w:t> </w:t>
      </w:r>
      <w:r>
        <w:rPr/>
        <w:t>the</w:t>
      </w:r>
      <w:r>
        <w:rPr>
          <w:spacing w:val="-9"/>
        </w:rPr>
        <w:t> </w:t>
      </w:r>
      <w:r>
        <w:rPr/>
        <w:t>asbestos</w:t>
      </w:r>
    </w:p>
    <w:p>
      <w:pPr>
        <w:pStyle w:val="BodyText"/>
        <w:spacing w:line="283" w:lineRule="auto" w:before="1"/>
        <w:ind w:left="989" w:right="71"/>
      </w:pPr>
      <w:r>
        <w:rPr/>
        <w:t>regulations. The number of notices issued to a licence holder, plus local inspector knowledge of their practices, is used to rank licence holders for</w:t>
      </w:r>
    </w:p>
    <w:p>
      <w:pPr>
        <w:pStyle w:val="BodyText"/>
        <w:spacing w:line="283" w:lineRule="auto" w:before="2"/>
        <w:ind w:left="989" w:right="329"/>
      </w:pPr>
      <w:r>
        <w:rPr/>
        <w:t>a comprehensive audit by asbestos inspectors and advisors in OIR’s Asbestos Unit.</w:t>
      </w:r>
    </w:p>
    <w:p>
      <w:pPr>
        <w:pStyle w:val="BodyText"/>
        <w:spacing w:before="132"/>
        <w:ind w:left="989"/>
      </w:pPr>
      <w:r>
        <w:rPr/>
        <w:t>The comprehensive audit of licence holders involves:</w:t>
      </w:r>
    </w:p>
    <w:p>
      <w:pPr>
        <w:pStyle w:val="BodyText"/>
        <w:spacing w:line="283" w:lineRule="auto" w:before="171"/>
        <w:ind w:left="1273" w:right="446" w:hanging="284"/>
      </w:pPr>
      <w:r>
        <w:rPr>
          <w:position w:val="-3"/>
        </w:rPr>
        <w:drawing>
          <wp:inline distT="0" distB="0" distL="0" distR="0">
            <wp:extent cx="71843" cy="11145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1843"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a</w:t>
      </w:r>
      <w:r>
        <w:rPr>
          <w:spacing w:val="-13"/>
        </w:rPr>
        <w:t> </w:t>
      </w:r>
      <w:r>
        <w:rPr/>
        <w:t>thorough</w:t>
      </w:r>
      <w:r>
        <w:rPr>
          <w:spacing w:val="-12"/>
        </w:rPr>
        <w:t> </w:t>
      </w:r>
      <w:r>
        <w:rPr/>
        <w:t>review</w:t>
      </w:r>
      <w:r>
        <w:rPr>
          <w:spacing w:val="-12"/>
        </w:rPr>
        <w:t> </w:t>
      </w:r>
      <w:r>
        <w:rPr/>
        <w:t>of</w:t>
      </w:r>
      <w:r>
        <w:rPr>
          <w:spacing w:val="-13"/>
        </w:rPr>
        <w:t> </w:t>
      </w:r>
      <w:r>
        <w:rPr/>
        <w:t>their</w:t>
      </w:r>
      <w:r>
        <w:rPr>
          <w:spacing w:val="-12"/>
        </w:rPr>
        <w:t> </w:t>
      </w:r>
      <w:r>
        <w:rPr/>
        <w:t>compliance</w:t>
      </w:r>
      <w:r>
        <w:rPr>
          <w:spacing w:val="-12"/>
        </w:rPr>
        <w:t> </w:t>
      </w:r>
      <w:r>
        <w:rPr/>
        <w:t>history to</w:t>
      </w:r>
      <w:r>
        <w:rPr>
          <w:spacing w:val="-3"/>
        </w:rPr>
        <w:t> </w:t>
      </w:r>
      <w:r>
        <w:rPr/>
        <w:t>date</w:t>
      </w:r>
    </w:p>
    <w:p>
      <w:pPr>
        <w:pStyle w:val="BodyText"/>
        <w:spacing w:before="131"/>
        <w:ind w:left="989"/>
      </w:pPr>
      <w:r>
        <w:rPr>
          <w:position w:val="-3"/>
        </w:rPr>
        <w:drawing>
          <wp:inline distT="0" distB="0" distL="0" distR="0">
            <wp:extent cx="71843" cy="111455"/>
            <wp:effectExtent l="0" t="0" r="0" b="0"/>
            <wp:docPr id="3" name="image1.png" descr=""/>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71843"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an</w:t>
      </w:r>
      <w:r>
        <w:rPr>
          <w:spacing w:val="-10"/>
        </w:rPr>
        <w:t> </w:t>
      </w:r>
      <w:r>
        <w:rPr/>
        <w:t>on-site</w:t>
      </w:r>
      <w:r>
        <w:rPr>
          <w:spacing w:val="-10"/>
        </w:rPr>
        <w:t> </w:t>
      </w:r>
      <w:r>
        <w:rPr/>
        <w:t>audit</w:t>
      </w:r>
      <w:r>
        <w:rPr>
          <w:spacing w:val="-10"/>
        </w:rPr>
        <w:t> </w:t>
      </w:r>
      <w:r>
        <w:rPr/>
        <w:t>to</w:t>
      </w:r>
      <w:r>
        <w:rPr>
          <w:spacing w:val="-10"/>
        </w:rPr>
        <w:t> </w:t>
      </w:r>
      <w:r>
        <w:rPr/>
        <w:t>validate</w:t>
      </w:r>
      <w:r>
        <w:rPr>
          <w:spacing w:val="-10"/>
        </w:rPr>
        <w:t> </w:t>
      </w:r>
      <w:r>
        <w:rPr/>
        <w:t>the</w:t>
      </w:r>
      <w:r>
        <w:rPr>
          <w:spacing w:val="-10"/>
        </w:rPr>
        <w:t> </w:t>
      </w:r>
      <w:r>
        <w:rPr/>
        <w:t>compliance</w:t>
      </w:r>
      <w:r>
        <w:rPr>
          <w:spacing w:val="-10"/>
        </w:rPr>
        <w:t> </w:t>
      </w:r>
      <w:r>
        <w:rPr/>
        <w:t>history</w:t>
      </w:r>
    </w:p>
    <w:p>
      <w:pPr>
        <w:pStyle w:val="BodyText"/>
        <w:spacing w:line="283" w:lineRule="auto" w:before="171"/>
        <w:ind w:left="1273" w:right="649" w:hanging="284"/>
      </w:pPr>
      <w:r>
        <w:rPr>
          <w:position w:val="-3"/>
        </w:rPr>
        <w:drawing>
          <wp:inline distT="0" distB="0" distL="0" distR="0">
            <wp:extent cx="71843" cy="111455"/>
            <wp:effectExtent l="0" t="0" r="0" b="0"/>
            <wp:docPr id="5" name="image1.png" descr=""/>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71843"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in</w:t>
      </w:r>
      <w:r>
        <w:rPr>
          <w:spacing w:val="-13"/>
        </w:rPr>
        <w:t> </w:t>
      </w:r>
      <w:r>
        <w:rPr/>
        <w:t>most</w:t>
      </w:r>
      <w:r>
        <w:rPr>
          <w:spacing w:val="-13"/>
        </w:rPr>
        <w:t> </w:t>
      </w:r>
      <w:r>
        <w:rPr/>
        <w:t>instances,</w:t>
      </w:r>
      <w:r>
        <w:rPr>
          <w:spacing w:val="-13"/>
        </w:rPr>
        <w:t> </w:t>
      </w:r>
      <w:r>
        <w:rPr/>
        <w:t>a</w:t>
      </w:r>
      <w:r>
        <w:rPr>
          <w:spacing w:val="-13"/>
        </w:rPr>
        <w:t> </w:t>
      </w:r>
      <w:r>
        <w:rPr/>
        <w:t>desktop</w:t>
      </w:r>
      <w:r>
        <w:rPr>
          <w:spacing w:val="-12"/>
        </w:rPr>
        <w:t> </w:t>
      </w:r>
      <w:r>
        <w:rPr/>
        <w:t>audit</w:t>
      </w:r>
      <w:r>
        <w:rPr>
          <w:spacing w:val="-13"/>
        </w:rPr>
        <w:t> </w:t>
      </w:r>
      <w:r>
        <w:rPr/>
        <w:t>of</w:t>
      </w:r>
      <w:r>
        <w:rPr>
          <w:spacing w:val="-13"/>
        </w:rPr>
        <w:t> </w:t>
      </w:r>
      <w:r>
        <w:rPr/>
        <w:t>safety management</w:t>
      </w:r>
      <w:r>
        <w:rPr>
          <w:spacing w:val="-3"/>
        </w:rPr>
        <w:t> </w:t>
      </w:r>
      <w:r>
        <w:rPr/>
        <w:t>systems</w:t>
      </w:r>
    </w:p>
    <w:p>
      <w:pPr>
        <w:pStyle w:val="BodyText"/>
        <w:spacing w:before="131"/>
        <w:ind w:left="989"/>
      </w:pPr>
      <w:r>
        <w:rPr>
          <w:position w:val="-3"/>
        </w:rPr>
        <w:drawing>
          <wp:inline distT="0" distB="0" distL="0" distR="0">
            <wp:extent cx="71843" cy="111455"/>
            <wp:effectExtent l="0" t="0" r="0" b="0"/>
            <wp:docPr id="7" name="image2.png" descr=""/>
            <wp:cNvGraphicFramePr>
              <a:graphicFrameLocks noChangeAspect="1"/>
            </wp:cNvGraphicFramePr>
            <a:graphic>
              <a:graphicData uri="http://schemas.openxmlformats.org/drawingml/2006/picture">
                <pic:pic>
                  <pic:nvPicPr>
                    <pic:cNvPr id="8" name="image2.png"/>
                    <pic:cNvPicPr/>
                  </pic:nvPicPr>
                  <pic:blipFill>
                    <a:blip r:embed="rId6" cstate="print"/>
                    <a:stretch>
                      <a:fillRect/>
                    </a:stretch>
                  </pic:blipFill>
                  <pic:spPr>
                    <a:xfrm>
                      <a:off x="0" y="0"/>
                      <a:ext cx="71843"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further on-site audit of removal</w:t>
      </w:r>
      <w:r>
        <w:rPr>
          <w:spacing w:val="-30"/>
        </w:rPr>
        <w:t> </w:t>
      </w:r>
      <w:r>
        <w:rPr/>
        <w:t>practices.</w:t>
      </w:r>
    </w:p>
    <w:p>
      <w:pPr>
        <w:pStyle w:val="BodyText"/>
        <w:spacing w:line="283" w:lineRule="auto" w:before="98"/>
        <w:ind w:left="1700" w:right="-15"/>
      </w:pPr>
      <w:r>
        <w:rPr/>
        <w:br w:type="column"/>
      </w:r>
      <w:r>
        <w:rPr/>
        <w:t>The assessment process is designed to gather evidence about competent and safe asbestos removal practices, which is an automatic condition of the asbestos removal licence.</w:t>
      </w:r>
    </w:p>
    <w:p>
      <w:pPr>
        <w:pStyle w:val="BodyText"/>
        <w:spacing w:line="283" w:lineRule="auto" w:before="132"/>
        <w:ind w:left="1700" w:right="155"/>
      </w:pPr>
      <w:r>
        <w:rPr/>
        <w:pict>
          <v:group style="position:absolute;margin-left:0pt;margin-top:-50.07584pt;width:595.3pt;height:38.35pt;mso-position-horizontal-relative:page;mso-position-vertical-relative:paragraph;z-index:1072" coordorigin="0,-1002" coordsize="11906,767">
            <v:rect style="position:absolute;left:0;top:-1002;width:11906;height:767" filled="true" fillcolor="#00c0f3" stroked="false">
              <v:fill type="solid"/>
            </v:rect>
            <v:shapetype id="_x0000_t202" o:spt="202" coordsize="21600,21600" path="m,l,21600r21600,l21600,xe">
              <v:stroke joinstyle="miter"/>
              <v:path gradientshapeok="t" o:connecttype="rect"/>
            </v:shapetype>
            <v:shape style="position:absolute;left:0;top:-1002;width:11906;height:767" type="#_x0000_t202" filled="false" stroked="false">
              <v:textbox inset="0,0,0,0">
                <w:txbxContent>
                  <w:p>
                    <w:pPr>
                      <w:spacing w:before="214"/>
                      <w:ind w:left="1700" w:right="0" w:firstLine="0"/>
                      <w:jc w:val="left"/>
                      <w:rPr>
                        <w:rFonts w:ascii="Arial" w:hAnsi="Arial"/>
                        <w:sz w:val="28"/>
                      </w:rPr>
                    </w:pPr>
                    <w:r>
                      <w:rPr>
                        <w:rFonts w:ascii="Arial" w:hAnsi="Arial"/>
                        <w:color w:val="FFFFFF"/>
                        <w:w w:val="90"/>
                        <w:sz w:val="28"/>
                      </w:rPr>
                      <w:t>Office of Industrial Relations – Licensed Asbestos Removalist Assessment Program</w:t>
                    </w:r>
                  </w:p>
                </w:txbxContent>
              </v:textbox>
              <w10:wrap type="none"/>
            </v:shape>
            <w10:wrap type="none"/>
          </v:group>
        </w:pict>
      </w:r>
      <w:r>
        <w:rPr/>
        <w:t>If the investigation concludes that the licence holder does not demonstrate safe and competent work practices,</w:t>
      </w:r>
      <w:r>
        <w:rPr>
          <w:spacing w:val="-16"/>
        </w:rPr>
        <w:t> </w:t>
      </w:r>
      <w:r>
        <w:rPr/>
        <w:t>the</w:t>
      </w:r>
      <w:r>
        <w:rPr>
          <w:spacing w:val="-15"/>
        </w:rPr>
        <w:t> </w:t>
      </w:r>
      <w:r>
        <w:rPr/>
        <w:t>Asbestos</w:t>
      </w:r>
      <w:r>
        <w:rPr>
          <w:spacing w:val="-16"/>
        </w:rPr>
        <w:t> </w:t>
      </w:r>
      <w:r>
        <w:rPr/>
        <w:t>Unit</w:t>
      </w:r>
      <w:r>
        <w:rPr>
          <w:spacing w:val="-15"/>
        </w:rPr>
        <w:t> </w:t>
      </w:r>
      <w:r>
        <w:rPr/>
        <w:t>completes</w:t>
      </w:r>
      <w:r>
        <w:rPr>
          <w:spacing w:val="-15"/>
        </w:rPr>
        <w:t> </w:t>
      </w:r>
      <w:r>
        <w:rPr/>
        <w:t>an</w:t>
      </w:r>
      <w:r>
        <w:rPr>
          <w:spacing w:val="-16"/>
        </w:rPr>
        <w:t> </w:t>
      </w:r>
      <w:r>
        <w:rPr/>
        <w:t>assessment report and forwards it to the Asbestos Licence Review</w:t>
      </w:r>
      <w:r>
        <w:rPr>
          <w:spacing w:val="-7"/>
        </w:rPr>
        <w:t> </w:t>
      </w:r>
      <w:r>
        <w:rPr/>
        <w:t>Panel</w:t>
      </w:r>
      <w:r>
        <w:rPr>
          <w:spacing w:val="-7"/>
        </w:rPr>
        <w:t> </w:t>
      </w:r>
      <w:r>
        <w:rPr/>
        <w:t>to</w:t>
      </w:r>
      <w:r>
        <w:rPr>
          <w:spacing w:val="-7"/>
        </w:rPr>
        <w:t> </w:t>
      </w:r>
      <w:r>
        <w:rPr/>
        <w:t>make</w:t>
      </w:r>
      <w:r>
        <w:rPr>
          <w:spacing w:val="-7"/>
        </w:rPr>
        <w:t> </w:t>
      </w:r>
      <w:r>
        <w:rPr/>
        <w:t>recommendations.</w:t>
      </w:r>
      <w:r>
        <w:rPr>
          <w:spacing w:val="-7"/>
        </w:rPr>
        <w:t> </w:t>
      </w:r>
      <w:r>
        <w:rPr/>
        <w:t>These</w:t>
      </w:r>
    </w:p>
    <w:p>
      <w:pPr>
        <w:pStyle w:val="BodyText"/>
        <w:spacing w:line="283" w:lineRule="auto" w:before="4"/>
        <w:ind w:left="1700" w:right="1"/>
      </w:pPr>
      <w:r>
        <w:rPr/>
        <w:t>recommendations may include issuing a warning letter or suspending, cancelling or imposing a condition</w:t>
      </w:r>
    </w:p>
    <w:p>
      <w:pPr>
        <w:pStyle w:val="BodyText"/>
        <w:spacing w:before="1"/>
        <w:ind w:left="1700"/>
      </w:pPr>
      <w:r>
        <w:rPr/>
        <w:t>on the licence.</w:t>
      </w:r>
    </w:p>
    <w:p>
      <w:pPr>
        <w:pStyle w:val="BodyText"/>
        <w:spacing w:line="283" w:lineRule="auto" w:before="170"/>
        <w:ind w:left="1700" w:right="77"/>
      </w:pPr>
      <w:r>
        <w:rPr/>
        <w:t>The licence holder is then contacted and invited to ‘show</w:t>
      </w:r>
      <w:r>
        <w:rPr>
          <w:spacing w:val="-9"/>
        </w:rPr>
        <w:t> </w:t>
      </w:r>
      <w:r>
        <w:rPr/>
        <w:t>cause’</w:t>
      </w:r>
      <w:r>
        <w:rPr>
          <w:spacing w:val="-9"/>
        </w:rPr>
        <w:t> </w:t>
      </w:r>
      <w:r>
        <w:rPr/>
        <w:t>as</w:t>
      </w:r>
      <w:r>
        <w:rPr>
          <w:spacing w:val="-9"/>
        </w:rPr>
        <w:t> </w:t>
      </w:r>
      <w:r>
        <w:rPr/>
        <w:t>to</w:t>
      </w:r>
      <w:r>
        <w:rPr>
          <w:spacing w:val="-8"/>
        </w:rPr>
        <w:t> </w:t>
      </w:r>
      <w:r>
        <w:rPr/>
        <w:t>why</w:t>
      </w:r>
      <w:r>
        <w:rPr>
          <w:spacing w:val="-9"/>
        </w:rPr>
        <w:t> </w:t>
      </w:r>
      <w:r>
        <w:rPr/>
        <w:t>a</w:t>
      </w:r>
      <w:r>
        <w:rPr>
          <w:spacing w:val="-9"/>
        </w:rPr>
        <w:t> </w:t>
      </w:r>
      <w:r>
        <w:rPr/>
        <w:t>specified</w:t>
      </w:r>
      <w:r>
        <w:rPr>
          <w:spacing w:val="-9"/>
        </w:rPr>
        <w:t> </w:t>
      </w:r>
      <w:r>
        <w:rPr/>
        <w:t>sanction</w:t>
      </w:r>
      <w:r>
        <w:rPr>
          <w:spacing w:val="-8"/>
        </w:rPr>
        <w:t> </w:t>
      </w:r>
      <w:r>
        <w:rPr/>
        <w:t>should</w:t>
      </w:r>
      <w:r>
        <w:rPr>
          <w:spacing w:val="-9"/>
        </w:rPr>
        <w:t> </w:t>
      </w:r>
      <w:r>
        <w:rPr/>
        <w:t>not be</w:t>
      </w:r>
      <w:r>
        <w:rPr>
          <w:spacing w:val="-17"/>
        </w:rPr>
        <w:t> </w:t>
      </w:r>
      <w:r>
        <w:rPr/>
        <w:t>imposed</w:t>
      </w:r>
      <w:r>
        <w:rPr>
          <w:spacing w:val="-16"/>
        </w:rPr>
        <w:t> </w:t>
      </w:r>
      <w:r>
        <w:rPr/>
        <w:t>on</w:t>
      </w:r>
      <w:r>
        <w:rPr>
          <w:spacing w:val="-16"/>
        </w:rPr>
        <w:t> </w:t>
      </w:r>
      <w:r>
        <w:rPr/>
        <w:t>their</w:t>
      </w:r>
      <w:r>
        <w:rPr>
          <w:spacing w:val="-16"/>
        </w:rPr>
        <w:t> </w:t>
      </w:r>
      <w:r>
        <w:rPr/>
        <w:t>licence.</w:t>
      </w:r>
      <w:r>
        <w:rPr>
          <w:spacing w:val="-16"/>
        </w:rPr>
        <w:t> </w:t>
      </w:r>
      <w:r>
        <w:rPr/>
        <w:t>Alternatively,</w:t>
      </w:r>
      <w:r>
        <w:rPr>
          <w:spacing w:val="-16"/>
        </w:rPr>
        <w:t> </w:t>
      </w:r>
      <w:r>
        <w:rPr/>
        <w:t>if</w:t>
      </w:r>
      <w:r>
        <w:rPr>
          <w:spacing w:val="-16"/>
        </w:rPr>
        <w:t> </w:t>
      </w:r>
      <w:r>
        <w:rPr/>
        <w:t>the</w:t>
      </w:r>
      <w:r>
        <w:rPr>
          <w:spacing w:val="-16"/>
        </w:rPr>
        <w:t> </w:t>
      </w:r>
      <w:r>
        <w:rPr/>
        <w:t>licence holder</w:t>
      </w:r>
      <w:r>
        <w:rPr>
          <w:spacing w:val="-12"/>
        </w:rPr>
        <w:t> </w:t>
      </w:r>
      <w:r>
        <w:rPr/>
        <w:t>is</w:t>
      </w:r>
      <w:r>
        <w:rPr>
          <w:spacing w:val="-12"/>
        </w:rPr>
        <w:t> </w:t>
      </w:r>
      <w:r>
        <w:rPr/>
        <w:t>sent</w:t>
      </w:r>
      <w:r>
        <w:rPr>
          <w:spacing w:val="-12"/>
        </w:rPr>
        <w:t> </w:t>
      </w:r>
      <w:r>
        <w:rPr/>
        <w:t>a</w:t>
      </w:r>
      <w:r>
        <w:rPr>
          <w:spacing w:val="-12"/>
        </w:rPr>
        <w:t> </w:t>
      </w:r>
      <w:r>
        <w:rPr/>
        <w:t>written</w:t>
      </w:r>
      <w:r>
        <w:rPr>
          <w:spacing w:val="-12"/>
        </w:rPr>
        <w:t> </w:t>
      </w:r>
      <w:r>
        <w:rPr/>
        <w:t>warning</w:t>
      </w:r>
      <w:r>
        <w:rPr>
          <w:spacing w:val="-11"/>
        </w:rPr>
        <w:t> </w:t>
      </w:r>
      <w:r>
        <w:rPr/>
        <w:t>stating</w:t>
      </w:r>
      <w:r>
        <w:rPr>
          <w:spacing w:val="-12"/>
        </w:rPr>
        <w:t> </w:t>
      </w:r>
      <w:r>
        <w:rPr/>
        <w:t>that</w:t>
      </w:r>
      <w:r>
        <w:rPr>
          <w:spacing w:val="-12"/>
        </w:rPr>
        <w:t> </w:t>
      </w:r>
      <w:r>
        <w:rPr/>
        <w:t>their</w:t>
      </w:r>
      <w:r>
        <w:rPr>
          <w:spacing w:val="-12"/>
        </w:rPr>
        <w:t> </w:t>
      </w:r>
      <w:r>
        <w:rPr/>
        <w:t>work practices</w:t>
      </w:r>
      <w:r>
        <w:rPr>
          <w:spacing w:val="-8"/>
        </w:rPr>
        <w:t> </w:t>
      </w:r>
      <w:r>
        <w:rPr/>
        <w:t>need</w:t>
      </w:r>
      <w:r>
        <w:rPr>
          <w:spacing w:val="-7"/>
        </w:rPr>
        <w:t> </w:t>
      </w:r>
      <w:r>
        <w:rPr/>
        <w:t>improvement</w:t>
      </w:r>
      <w:r>
        <w:rPr>
          <w:spacing w:val="-8"/>
        </w:rPr>
        <w:t> </w:t>
      </w:r>
      <w:r>
        <w:rPr/>
        <w:t>to</w:t>
      </w:r>
      <w:r>
        <w:rPr>
          <w:spacing w:val="-7"/>
        </w:rPr>
        <w:t> </w:t>
      </w:r>
      <w:r>
        <w:rPr/>
        <w:t>prevent</w:t>
      </w:r>
      <w:r>
        <w:rPr>
          <w:spacing w:val="-7"/>
        </w:rPr>
        <w:t> </w:t>
      </w:r>
      <w:r>
        <w:rPr/>
        <w:t>suspension</w:t>
      </w:r>
    </w:p>
    <w:p>
      <w:pPr>
        <w:pStyle w:val="BodyText"/>
        <w:spacing w:line="283" w:lineRule="auto" w:before="3"/>
        <w:ind w:left="1700" w:right="289"/>
      </w:pPr>
      <w:r>
        <w:rPr/>
        <w:t>or</w:t>
      </w:r>
      <w:r>
        <w:rPr>
          <w:spacing w:val="-14"/>
        </w:rPr>
        <w:t> </w:t>
      </w:r>
      <w:r>
        <w:rPr/>
        <w:t>cancellation</w:t>
      </w:r>
      <w:r>
        <w:rPr>
          <w:spacing w:val="-13"/>
        </w:rPr>
        <w:t> </w:t>
      </w:r>
      <w:r>
        <w:rPr/>
        <w:t>of</w:t>
      </w:r>
      <w:r>
        <w:rPr>
          <w:spacing w:val="-13"/>
        </w:rPr>
        <w:t> </w:t>
      </w:r>
      <w:r>
        <w:rPr/>
        <w:t>their</w:t>
      </w:r>
      <w:r>
        <w:rPr>
          <w:spacing w:val="-13"/>
        </w:rPr>
        <w:t> </w:t>
      </w:r>
      <w:r>
        <w:rPr/>
        <w:t>licence,</w:t>
      </w:r>
      <w:r>
        <w:rPr>
          <w:spacing w:val="-14"/>
        </w:rPr>
        <w:t> </w:t>
      </w:r>
      <w:r>
        <w:rPr/>
        <w:t>they</w:t>
      </w:r>
      <w:r>
        <w:rPr>
          <w:spacing w:val="-13"/>
        </w:rPr>
        <w:t> </w:t>
      </w:r>
      <w:r>
        <w:rPr/>
        <w:t>will</w:t>
      </w:r>
      <w:r>
        <w:rPr>
          <w:spacing w:val="-13"/>
        </w:rPr>
        <w:t> </w:t>
      </w:r>
      <w:r>
        <w:rPr/>
        <w:t>be</w:t>
      </w:r>
      <w:r>
        <w:rPr>
          <w:spacing w:val="-13"/>
        </w:rPr>
        <w:t> </w:t>
      </w:r>
      <w:r>
        <w:rPr/>
        <w:t>subject to</w:t>
      </w:r>
      <w:r>
        <w:rPr>
          <w:spacing w:val="-5"/>
        </w:rPr>
        <w:t> </w:t>
      </w:r>
      <w:r>
        <w:rPr/>
        <w:t>a</w:t>
      </w:r>
      <w:r>
        <w:rPr>
          <w:spacing w:val="-4"/>
        </w:rPr>
        <w:t> </w:t>
      </w:r>
      <w:r>
        <w:rPr/>
        <w:t>follow</w:t>
      </w:r>
      <w:r>
        <w:rPr>
          <w:spacing w:val="-5"/>
        </w:rPr>
        <w:t> </w:t>
      </w:r>
      <w:r>
        <w:rPr/>
        <w:t>up</w:t>
      </w:r>
      <w:r>
        <w:rPr>
          <w:spacing w:val="-4"/>
        </w:rPr>
        <w:t> </w:t>
      </w:r>
      <w:r>
        <w:rPr/>
        <w:t>audit</w:t>
      </w:r>
      <w:r>
        <w:rPr>
          <w:spacing w:val="-5"/>
        </w:rPr>
        <w:t> </w:t>
      </w:r>
      <w:r>
        <w:rPr/>
        <w:t>as</w:t>
      </w:r>
      <w:r>
        <w:rPr>
          <w:spacing w:val="-4"/>
        </w:rPr>
        <w:t> </w:t>
      </w:r>
      <w:r>
        <w:rPr/>
        <w:t>soon</w:t>
      </w:r>
      <w:r>
        <w:rPr>
          <w:spacing w:val="-4"/>
        </w:rPr>
        <w:t> </w:t>
      </w:r>
      <w:r>
        <w:rPr/>
        <w:t>as</w:t>
      </w:r>
      <w:r>
        <w:rPr>
          <w:spacing w:val="-5"/>
        </w:rPr>
        <w:t> </w:t>
      </w:r>
      <w:r>
        <w:rPr/>
        <w:t>possible.</w:t>
      </w:r>
    </w:p>
    <w:p>
      <w:pPr>
        <w:spacing w:line="283" w:lineRule="auto" w:before="132"/>
        <w:ind w:left="1700" w:right="27" w:firstLine="0"/>
        <w:jc w:val="both"/>
        <w:rPr>
          <w:sz w:val="18"/>
        </w:rPr>
      </w:pPr>
      <w:r>
        <w:rPr>
          <w:sz w:val="18"/>
        </w:rPr>
        <w:t>If</w:t>
      </w:r>
      <w:r>
        <w:rPr>
          <w:spacing w:val="-10"/>
          <w:sz w:val="18"/>
        </w:rPr>
        <w:t> </w:t>
      </w:r>
      <w:r>
        <w:rPr>
          <w:sz w:val="18"/>
        </w:rPr>
        <w:t>a</w:t>
      </w:r>
      <w:r>
        <w:rPr>
          <w:spacing w:val="-10"/>
          <w:sz w:val="18"/>
        </w:rPr>
        <w:t> </w:t>
      </w:r>
      <w:r>
        <w:rPr>
          <w:sz w:val="18"/>
        </w:rPr>
        <w:t>decision</w:t>
      </w:r>
      <w:r>
        <w:rPr>
          <w:spacing w:val="-9"/>
          <w:sz w:val="18"/>
        </w:rPr>
        <w:t> </w:t>
      </w:r>
      <w:r>
        <w:rPr>
          <w:sz w:val="18"/>
        </w:rPr>
        <w:t>is</w:t>
      </w:r>
      <w:r>
        <w:rPr>
          <w:spacing w:val="-10"/>
          <w:sz w:val="18"/>
        </w:rPr>
        <w:t> </w:t>
      </w:r>
      <w:r>
        <w:rPr>
          <w:sz w:val="18"/>
        </w:rPr>
        <w:t>made</w:t>
      </w:r>
      <w:r>
        <w:rPr>
          <w:spacing w:val="-9"/>
          <w:sz w:val="18"/>
        </w:rPr>
        <w:t> </w:t>
      </w:r>
      <w:r>
        <w:rPr>
          <w:sz w:val="18"/>
        </w:rPr>
        <w:t>to</w:t>
      </w:r>
      <w:r>
        <w:rPr>
          <w:spacing w:val="-10"/>
          <w:sz w:val="18"/>
        </w:rPr>
        <w:t> </w:t>
      </w:r>
      <w:r>
        <w:rPr>
          <w:sz w:val="18"/>
        </w:rPr>
        <w:t>sanction</w:t>
      </w:r>
      <w:r>
        <w:rPr>
          <w:spacing w:val="-10"/>
          <w:sz w:val="18"/>
        </w:rPr>
        <w:t> </w:t>
      </w:r>
      <w:r>
        <w:rPr>
          <w:sz w:val="18"/>
        </w:rPr>
        <w:t>the</w:t>
      </w:r>
      <w:r>
        <w:rPr>
          <w:spacing w:val="-9"/>
          <w:sz w:val="18"/>
        </w:rPr>
        <w:t> </w:t>
      </w:r>
      <w:r>
        <w:rPr>
          <w:sz w:val="18"/>
        </w:rPr>
        <w:t>licence,</w:t>
      </w:r>
      <w:r>
        <w:rPr>
          <w:spacing w:val="-10"/>
          <w:sz w:val="18"/>
        </w:rPr>
        <w:t> </w:t>
      </w:r>
      <w:r>
        <w:rPr>
          <w:sz w:val="18"/>
        </w:rPr>
        <w:t>the</w:t>
      </w:r>
      <w:r>
        <w:rPr>
          <w:spacing w:val="-9"/>
          <w:sz w:val="18"/>
        </w:rPr>
        <w:t> </w:t>
      </w:r>
      <w:r>
        <w:rPr>
          <w:sz w:val="18"/>
        </w:rPr>
        <w:t>licence holder</w:t>
      </w:r>
      <w:r>
        <w:rPr>
          <w:spacing w:val="-20"/>
          <w:sz w:val="18"/>
        </w:rPr>
        <w:t> </w:t>
      </w:r>
      <w:r>
        <w:rPr>
          <w:sz w:val="18"/>
        </w:rPr>
        <w:t>has</w:t>
      </w:r>
      <w:r>
        <w:rPr>
          <w:spacing w:val="-20"/>
          <w:sz w:val="18"/>
        </w:rPr>
        <w:t> </w:t>
      </w:r>
      <w:r>
        <w:rPr>
          <w:sz w:val="18"/>
        </w:rPr>
        <w:t>options</w:t>
      </w:r>
      <w:r>
        <w:rPr>
          <w:spacing w:val="-20"/>
          <w:sz w:val="18"/>
        </w:rPr>
        <w:t> </w:t>
      </w:r>
      <w:r>
        <w:rPr>
          <w:sz w:val="18"/>
        </w:rPr>
        <w:t>under</w:t>
      </w:r>
      <w:r>
        <w:rPr>
          <w:spacing w:val="-20"/>
          <w:sz w:val="18"/>
        </w:rPr>
        <w:t> </w:t>
      </w:r>
      <w:r>
        <w:rPr>
          <w:sz w:val="18"/>
        </w:rPr>
        <w:t>the</w:t>
      </w:r>
      <w:r>
        <w:rPr>
          <w:spacing w:val="-20"/>
          <w:sz w:val="18"/>
        </w:rPr>
        <w:t> </w:t>
      </w:r>
      <w:r>
        <w:rPr>
          <w:i/>
          <w:sz w:val="18"/>
        </w:rPr>
        <w:t>Work</w:t>
      </w:r>
      <w:r>
        <w:rPr>
          <w:i/>
          <w:spacing w:val="-24"/>
          <w:sz w:val="18"/>
        </w:rPr>
        <w:t> </w:t>
      </w:r>
      <w:r>
        <w:rPr>
          <w:i/>
          <w:sz w:val="18"/>
        </w:rPr>
        <w:t>Health</w:t>
      </w:r>
      <w:r>
        <w:rPr>
          <w:i/>
          <w:spacing w:val="-24"/>
          <w:sz w:val="18"/>
        </w:rPr>
        <w:t> </w:t>
      </w:r>
      <w:r>
        <w:rPr>
          <w:i/>
          <w:sz w:val="18"/>
        </w:rPr>
        <w:t>and</w:t>
      </w:r>
      <w:r>
        <w:rPr>
          <w:i/>
          <w:spacing w:val="-24"/>
          <w:sz w:val="18"/>
        </w:rPr>
        <w:t> </w:t>
      </w:r>
      <w:r>
        <w:rPr>
          <w:i/>
          <w:sz w:val="18"/>
        </w:rPr>
        <w:t>Safety</w:t>
      </w:r>
      <w:r>
        <w:rPr>
          <w:i/>
          <w:spacing w:val="-23"/>
          <w:sz w:val="18"/>
        </w:rPr>
        <w:t> </w:t>
      </w:r>
      <w:r>
        <w:rPr>
          <w:i/>
          <w:sz w:val="18"/>
        </w:rPr>
        <w:t>Act </w:t>
      </w:r>
      <w:r>
        <w:rPr>
          <w:i/>
          <w:spacing w:val="-8"/>
          <w:sz w:val="18"/>
        </w:rPr>
        <w:t>2011 </w:t>
      </w:r>
      <w:r>
        <w:rPr>
          <w:sz w:val="18"/>
        </w:rPr>
        <w:t>to seek a review of the</w:t>
      </w:r>
      <w:r>
        <w:rPr>
          <w:spacing w:val="-23"/>
          <w:sz w:val="18"/>
        </w:rPr>
        <w:t> </w:t>
      </w:r>
      <w:r>
        <w:rPr>
          <w:sz w:val="18"/>
        </w:rPr>
        <w:t>decision.</w:t>
      </w:r>
    </w:p>
    <w:p>
      <w:pPr>
        <w:pStyle w:val="BodyText"/>
        <w:spacing w:line="283" w:lineRule="auto" w:before="132"/>
        <w:ind w:left="1700" w:right="85"/>
      </w:pPr>
      <w:r>
        <w:rPr/>
        <w:t>When</w:t>
      </w:r>
      <w:r>
        <w:rPr>
          <w:spacing w:val="-12"/>
        </w:rPr>
        <w:t> </w:t>
      </w:r>
      <w:r>
        <w:rPr/>
        <w:t>a</w:t>
      </w:r>
      <w:r>
        <w:rPr>
          <w:spacing w:val="-12"/>
        </w:rPr>
        <w:t> </w:t>
      </w:r>
      <w:r>
        <w:rPr/>
        <w:t>licence</w:t>
      </w:r>
      <w:r>
        <w:rPr>
          <w:spacing w:val="-12"/>
        </w:rPr>
        <w:t> </w:t>
      </w:r>
      <w:r>
        <w:rPr/>
        <w:t>sanction</w:t>
      </w:r>
      <w:r>
        <w:rPr>
          <w:spacing w:val="-11"/>
        </w:rPr>
        <w:t> </w:t>
      </w:r>
      <w:r>
        <w:rPr/>
        <w:t>is</w:t>
      </w:r>
      <w:r>
        <w:rPr>
          <w:spacing w:val="-12"/>
        </w:rPr>
        <w:t> </w:t>
      </w:r>
      <w:r>
        <w:rPr/>
        <w:t>finalised,</w:t>
      </w:r>
      <w:r>
        <w:rPr>
          <w:spacing w:val="-12"/>
        </w:rPr>
        <w:t> </w:t>
      </w:r>
      <w:r>
        <w:rPr/>
        <w:t>the</w:t>
      </w:r>
      <w:r>
        <w:rPr>
          <w:spacing w:val="-12"/>
        </w:rPr>
        <w:t> </w:t>
      </w:r>
      <w:r>
        <w:rPr/>
        <w:t>licence</w:t>
      </w:r>
      <w:r>
        <w:rPr>
          <w:spacing w:val="-11"/>
        </w:rPr>
        <w:t> </w:t>
      </w:r>
      <w:r>
        <w:rPr/>
        <w:t>holder is informed of the decision and a notation of the sanction is made against the licence holder on the list of</w:t>
      </w:r>
      <w:r>
        <w:rPr>
          <w:spacing w:val="-13"/>
        </w:rPr>
        <w:t> </w:t>
      </w:r>
      <w:r>
        <w:rPr/>
        <w:t>licensed</w:t>
      </w:r>
      <w:r>
        <w:rPr>
          <w:spacing w:val="-12"/>
        </w:rPr>
        <w:t> </w:t>
      </w:r>
      <w:r>
        <w:rPr/>
        <w:t>asbestos</w:t>
      </w:r>
      <w:r>
        <w:rPr>
          <w:spacing w:val="-12"/>
        </w:rPr>
        <w:t> </w:t>
      </w:r>
      <w:r>
        <w:rPr/>
        <w:t>removalists,</w:t>
      </w:r>
      <w:r>
        <w:rPr>
          <w:spacing w:val="-12"/>
        </w:rPr>
        <w:t> </w:t>
      </w:r>
      <w:r>
        <w:rPr/>
        <w:t>which</w:t>
      </w:r>
      <w:r>
        <w:rPr>
          <w:spacing w:val="-13"/>
        </w:rPr>
        <w:t> </w:t>
      </w:r>
      <w:r>
        <w:rPr/>
        <w:t>is</w:t>
      </w:r>
      <w:r>
        <w:rPr>
          <w:spacing w:val="-12"/>
        </w:rPr>
        <w:t> </w:t>
      </w:r>
      <w:r>
        <w:rPr/>
        <w:t>published</w:t>
      </w:r>
      <w:r>
        <w:rPr>
          <w:spacing w:val="-12"/>
        </w:rPr>
        <w:t> </w:t>
      </w:r>
      <w:r>
        <w:rPr/>
        <w:t>on the WorkSafe</w:t>
      </w:r>
      <w:r>
        <w:rPr>
          <w:spacing w:val="-7"/>
        </w:rPr>
        <w:t> </w:t>
      </w:r>
      <w:r>
        <w:rPr/>
        <w:t>website.</w:t>
      </w:r>
    </w:p>
    <w:p>
      <w:pPr>
        <w:pStyle w:val="BodyText"/>
        <w:spacing w:line="283" w:lineRule="auto" w:before="133"/>
        <w:ind w:left="1700" w:right="-15"/>
      </w:pPr>
      <w:r>
        <w:rPr/>
        <w:t>If</w:t>
      </w:r>
      <w:r>
        <w:rPr>
          <w:spacing w:val="-11"/>
        </w:rPr>
        <w:t> </w:t>
      </w:r>
      <w:r>
        <w:rPr/>
        <w:t>a</w:t>
      </w:r>
      <w:r>
        <w:rPr>
          <w:spacing w:val="-11"/>
        </w:rPr>
        <w:t> </w:t>
      </w:r>
      <w:r>
        <w:rPr/>
        <w:t>licence</w:t>
      </w:r>
      <w:r>
        <w:rPr>
          <w:spacing w:val="-11"/>
        </w:rPr>
        <w:t> </w:t>
      </w:r>
      <w:r>
        <w:rPr/>
        <w:t>is</w:t>
      </w:r>
      <w:r>
        <w:rPr>
          <w:spacing w:val="-11"/>
        </w:rPr>
        <w:t> </w:t>
      </w:r>
      <w:r>
        <w:rPr/>
        <w:t>suspended</w:t>
      </w:r>
      <w:r>
        <w:rPr>
          <w:spacing w:val="-10"/>
        </w:rPr>
        <w:t> </w:t>
      </w:r>
      <w:r>
        <w:rPr/>
        <w:t>or</w:t>
      </w:r>
      <w:r>
        <w:rPr>
          <w:spacing w:val="-11"/>
        </w:rPr>
        <w:t> </w:t>
      </w:r>
      <w:r>
        <w:rPr/>
        <w:t>cancelled</w:t>
      </w:r>
      <w:r>
        <w:rPr>
          <w:spacing w:val="-11"/>
        </w:rPr>
        <w:t> </w:t>
      </w:r>
      <w:r>
        <w:rPr/>
        <w:t>and</w:t>
      </w:r>
      <w:r>
        <w:rPr>
          <w:spacing w:val="-11"/>
        </w:rPr>
        <w:t> </w:t>
      </w:r>
      <w:r>
        <w:rPr/>
        <w:t>the</w:t>
      </w:r>
      <w:r>
        <w:rPr>
          <w:spacing w:val="-11"/>
        </w:rPr>
        <w:t> </w:t>
      </w:r>
      <w:r>
        <w:rPr/>
        <w:t>removalist is issued a new licence following the disqualification period, they may also be subject to more frequent audits by the Asbestos</w:t>
      </w:r>
      <w:r>
        <w:rPr>
          <w:spacing w:val="-12"/>
        </w:rPr>
        <w:t> </w:t>
      </w:r>
      <w:r>
        <w:rPr/>
        <w:t>Unit.</w:t>
      </w:r>
    </w:p>
    <w:p>
      <w:pPr>
        <w:pStyle w:val="BodyText"/>
        <w:spacing w:before="133"/>
        <w:ind w:left="1700"/>
      </w:pPr>
      <w:r>
        <w:rPr/>
        <w:t>Work Health and Safety Queensland is also taking</w:t>
      </w:r>
    </w:p>
    <w:p>
      <w:pPr>
        <w:pStyle w:val="BodyText"/>
        <w:spacing w:line="283" w:lineRule="auto" w:before="40"/>
        <w:ind w:left="1700" w:right="64"/>
      </w:pPr>
      <w:r>
        <w:rPr/>
        <w:t>a tougher stance on removalists undertaking asbestos removal work without the appropriate licence, and</w:t>
      </w:r>
    </w:p>
    <w:p>
      <w:pPr>
        <w:pStyle w:val="BodyText"/>
        <w:spacing w:line="283" w:lineRule="auto" w:before="2"/>
        <w:ind w:left="1700" w:right="289"/>
      </w:pPr>
      <w:r>
        <w:rPr/>
        <w:t>in</w:t>
      </w:r>
      <w:r>
        <w:rPr>
          <w:spacing w:val="-15"/>
        </w:rPr>
        <w:t> </w:t>
      </w:r>
      <w:r>
        <w:rPr/>
        <w:t>instances</w:t>
      </w:r>
      <w:r>
        <w:rPr>
          <w:spacing w:val="-14"/>
        </w:rPr>
        <w:t> </w:t>
      </w:r>
      <w:r>
        <w:rPr/>
        <w:t>where</w:t>
      </w:r>
      <w:r>
        <w:rPr>
          <w:spacing w:val="-15"/>
        </w:rPr>
        <w:t> </w:t>
      </w:r>
      <w:r>
        <w:rPr/>
        <w:t>this</w:t>
      </w:r>
      <w:r>
        <w:rPr>
          <w:spacing w:val="-14"/>
        </w:rPr>
        <w:t> </w:t>
      </w:r>
      <w:r>
        <w:rPr/>
        <w:t>is</w:t>
      </w:r>
      <w:r>
        <w:rPr>
          <w:spacing w:val="-14"/>
        </w:rPr>
        <w:t> </w:t>
      </w:r>
      <w:r>
        <w:rPr/>
        <w:t>detected,</w:t>
      </w:r>
      <w:r>
        <w:rPr>
          <w:spacing w:val="-15"/>
        </w:rPr>
        <w:t> </w:t>
      </w:r>
      <w:r>
        <w:rPr/>
        <w:t>it</w:t>
      </w:r>
      <w:r>
        <w:rPr>
          <w:spacing w:val="-14"/>
        </w:rPr>
        <w:t> </w:t>
      </w:r>
      <w:r>
        <w:rPr/>
        <w:t>will</w:t>
      </w:r>
      <w:r>
        <w:rPr>
          <w:spacing w:val="-14"/>
        </w:rPr>
        <w:t> </w:t>
      </w:r>
      <w:r>
        <w:rPr/>
        <w:t>be</w:t>
      </w:r>
      <w:r>
        <w:rPr>
          <w:spacing w:val="-15"/>
        </w:rPr>
        <w:t> </w:t>
      </w:r>
      <w:r>
        <w:rPr/>
        <w:t>treated as</w:t>
      </w:r>
      <w:r>
        <w:rPr>
          <w:spacing w:val="-7"/>
        </w:rPr>
        <w:t> </w:t>
      </w:r>
      <w:r>
        <w:rPr/>
        <w:t>a</w:t>
      </w:r>
      <w:r>
        <w:rPr>
          <w:spacing w:val="-6"/>
        </w:rPr>
        <w:t> </w:t>
      </w:r>
      <w:r>
        <w:rPr/>
        <w:t>priority</w:t>
      </w:r>
      <w:r>
        <w:rPr>
          <w:spacing w:val="-6"/>
        </w:rPr>
        <w:t> </w:t>
      </w:r>
      <w:r>
        <w:rPr/>
        <w:t>regulatory</w:t>
      </w:r>
      <w:r>
        <w:rPr>
          <w:spacing w:val="-6"/>
        </w:rPr>
        <w:t> </w:t>
      </w:r>
      <w:r>
        <w:rPr/>
        <w:t>offence</w:t>
      </w:r>
      <w:r>
        <w:rPr>
          <w:spacing w:val="-7"/>
        </w:rPr>
        <w:t> </w:t>
      </w:r>
      <w:r>
        <w:rPr/>
        <w:t>and</w:t>
      </w:r>
      <w:r>
        <w:rPr>
          <w:spacing w:val="-6"/>
        </w:rPr>
        <w:t> </w:t>
      </w:r>
      <w:r>
        <w:rPr/>
        <w:t>subject</w:t>
      </w:r>
      <w:r>
        <w:rPr>
          <w:spacing w:val="-6"/>
        </w:rPr>
        <w:t> </w:t>
      </w:r>
      <w:r>
        <w:rPr/>
        <w:t>to</w:t>
      </w:r>
    </w:p>
    <w:p>
      <w:pPr>
        <w:pStyle w:val="BodyText"/>
        <w:spacing w:before="1"/>
        <w:ind w:left="1700"/>
      </w:pPr>
      <w:r>
        <w:rPr/>
        <w:t>comprehensive investigation and possible prosecution.</w:t>
      </w:r>
    </w:p>
    <w:p>
      <w:pPr>
        <w:pStyle w:val="BodyText"/>
        <w:spacing w:before="10"/>
        <w:rPr>
          <w:sz w:val="14"/>
        </w:rPr>
      </w:pPr>
    </w:p>
    <w:p>
      <w:pPr>
        <w:pStyle w:val="Heading1"/>
        <w:spacing w:before="0"/>
      </w:pPr>
      <w:r>
        <w:rPr>
          <w:w w:val="90"/>
        </w:rPr>
        <w:t>Results</w:t>
      </w:r>
    </w:p>
    <w:p>
      <w:pPr>
        <w:pStyle w:val="BodyText"/>
        <w:spacing w:line="283" w:lineRule="auto" w:before="159"/>
        <w:ind w:left="1700" w:right="-7"/>
      </w:pPr>
      <w:r>
        <w:rPr/>
        <w:t>In the first half of 2018, the Asbestos Unit completed seven comprehensive assessments of licensed removalists, resulting in two finalised licence cancellations, one finalised licence suspension and one finalised warning letter. Renewal of another licence was refused based upon completion of an assessment</w:t>
      </w:r>
    </w:p>
    <w:p>
      <w:pPr>
        <w:pStyle w:val="BodyText"/>
        <w:spacing w:line="283" w:lineRule="auto" w:before="97"/>
        <w:ind w:left="413" w:right="679"/>
      </w:pPr>
      <w:r>
        <w:rPr/>
        <w:br w:type="column"/>
      </w:r>
      <w:r>
        <w:rPr/>
        <w:t>report that coincided with licence renewal application. Recommendations have been made to cancel two other</w:t>
      </w:r>
      <w:r>
        <w:rPr>
          <w:spacing w:val="-12"/>
        </w:rPr>
        <w:t> </w:t>
      </w:r>
      <w:r>
        <w:rPr/>
        <w:t>licences</w:t>
      </w:r>
      <w:r>
        <w:rPr>
          <w:spacing w:val="-12"/>
        </w:rPr>
        <w:t> </w:t>
      </w:r>
      <w:r>
        <w:rPr/>
        <w:t>and</w:t>
      </w:r>
      <w:r>
        <w:rPr>
          <w:spacing w:val="-11"/>
        </w:rPr>
        <w:t> </w:t>
      </w:r>
      <w:r>
        <w:rPr/>
        <w:t>the</w:t>
      </w:r>
      <w:r>
        <w:rPr>
          <w:spacing w:val="-12"/>
        </w:rPr>
        <w:t> </w:t>
      </w:r>
      <w:r>
        <w:rPr/>
        <w:t>show</w:t>
      </w:r>
      <w:r>
        <w:rPr>
          <w:spacing w:val="-11"/>
        </w:rPr>
        <w:t> </w:t>
      </w:r>
      <w:r>
        <w:rPr/>
        <w:t>cause</w:t>
      </w:r>
      <w:r>
        <w:rPr>
          <w:spacing w:val="-12"/>
        </w:rPr>
        <w:t> </w:t>
      </w:r>
      <w:r>
        <w:rPr/>
        <w:t>process</w:t>
      </w:r>
      <w:r>
        <w:rPr>
          <w:spacing w:val="-11"/>
        </w:rPr>
        <w:t> </w:t>
      </w:r>
      <w:r>
        <w:rPr/>
        <w:t>is</w:t>
      </w:r>
      <w:r>
        <w:rPr>
          <w:spacing w:val="-12"/>
        </w:rPr>
        <w:t> </w:t>
      </w:r>
      <w:r>
        <w:rPr/>
        <w:t>underway. All</w:t>
      </w:r>
      <w:r>
        <w:rPr>
          <w:spacing w:val="-17"/>
        </w:rPr>
        <w:t> </w:t>
      </w:r>
      <w:r>
        <w:rPr/>
        <w:t>cancellations</w:t>
      </w:r>
      <w:r>
        <w:rPr>
          <w:spacing w:val="-17"/>
        </w:rPr>
        <w:t> </w:t>
      </w:r>
      <w:r>
        <w:rPr/>
        <w:t>have</w:t>
      </w:r>
      <w:r>
        <w:rPr>
          <w:spacing w:val="-17"/>
        </w:rPr>
        <w:t> </w:t>
      </w:r>
      <w:r>
        <w:rPr/>
        <w:t>a</w:t>
      </w:r>
      <w:r>
        <w:rPr>
          <w:spacing w:val="-17"/>
        </w:rPr>
        <w:t> </w:t>
      </w:r>
      <w:r>
        <w:rPr/>
        <w:t>specified</w:t>
      </w:r>
      <w:r>
        <w:rPr>
          <w:spacing w:val="-17"/>
        </w:rPr>
        <w:t> </w:t>
      </w:r>
      <w:r>
        <w:rPr/>
        <w:t>disqualification</w:t>
      </w:r>
      <w:r>
        <w:rPr>
          <w:spacing w:val="-17"/>
        </w:rPr>
        <w:t> </w:t>
      </w:r>
      <w:r>
        <w:rPr/>
        <w:t>period, ranging from one to two years, while the suspended licence has an additional condition</w:t>
      </w:r>
      <w:r>
        <w:rPr>
          <w:spacing w:val="-20"/>
        </w:rPr>
        <w:t> </w:t>
      </w:r>
      <w:r>
        <w:rPr/>
        <w:t>imposed.</w:t>
      </w:r>
    </w:p>
    <w:p>
      <w:pPr>
        <w:pStyle w:val="Heading1"/>
        <w:spacing w:before="144"/>
        <w:ind w:left="413"/>
      </w:pPr>
      <w:r>
        <w:rPr>
          <w:w w:val="90"/>
        </w:rPr>
        <w:t>Outcomes</w:t>
      </w:r>
    </w:p>
    <w:p>
      <w:pPr>
        <w:pStyle w:val="BodyText"/>
        <w:spacing w:line="283" w:lineRule="auto" w:before="159"/>
        <w:ind w:left="413" w:right="724"/>
      </w:pPr>
      <w:r>
        <w:rPr/>
        <w:t>By taking action to cancel or suspend an asbestos removal licence where there is evidence a removalist has not demonstrated safe and competent asbestos removal practices, OIR is ensuring that the community can be confident in Queensland’s asbestos removalist licensing regime.</w:t>
      </w:r>
    </w:p>
    <w:p>
      <w:pPr>
        <w:pStyle w:val="Heading1"/>
        <w:spacing w:before="143"/>
        <w:ind w:left="413"/>
      </w:pPr>
      <w:r>
        <w:rPr>
          <w:w w:val="90"/>
        </w:rPr>
        <w:t>Next steps</w:t>
      </w:r>
    </w:p>
    <w:p>
      <w:pPr>
        <w:pStyle w:val="BodyText"/>
        <w:spacing w:line="283" w:lineRule="auto" w:before="159"/>
        <w:ind w:left="413" w:right="804"/>
      </w:pPr>
      <w:r>
        <w:rPr/>
        <w:t>This is an ongoing program. A similar program to audit licensed asbestos assessors and assess their competency to perform air monitoring and clearance inspections for friable asbestos removal is also being planned.</w:t>
      </w:r>
    </w:p>
    <w:p>
      <w:pPr>
        <w:pStyle w:val="Heading1"/>
        <w:spacing w:before="143"/>
        <w:ind w:left="413"/>
      </w:pPr>
      <w:r>
        <w:rPr>
          <w:w w:val="90"/>
        </w:rPr>
        <w:t>More information</w:t>
      </w:r>
    </w:p>
    <w:p>
      <w:pPr>
        <w:pStyle w:val="BodyText"/>
        <w:spacing w:line="283" w:lineRule="auto" w:before="159"/>
        <w:ind w:left="413" w:right="1162"/>
      </w:pPr>
      <w:r>
        <w:rPr/>
        <w:t>https://</w:t>
      </w:r>
      <w:hyperlink r:id="rId7">
        <w:r>
          <w:rPr/>
          <w:t>www.worksafe.qld.gov.au/forms-and-</w:t>
        </w:r>
      </w:hyperlink>
      <w:r>
        <w:rPr/>
        <w:t> resources/newsletter/esafe-newsletters/esafe- editions/esafe/august-2018/licenced-asbestos- removalist-audit-continues</w:t>
      </w:r>
    </w:p>
    <w:p>
      <w:pPr>
        <w:pStyle w:val="BodyText"/>
        <w:rPr>
          <w:sz w:val="22"/>
        </w:rPr>
      </w:pPr>
    </w:p>
    <w:p>
      <w:pPr>
        <w:pStyle w:val="BodyText"/>
        <w:rPr>
          <w:sz w:val="22"/>
        </w:rPr>
      </w:pPr>
    </w:p>
    <w:p>
      <w:pPr>
        <w:pStyle w:val="BodyText"/>
        <w:spacing w:before="4"/>
      </w:pPr>
    </w:p>
    <w:p>
      <w:pPr>
        <w:pStyle w:val="BodyText"/>
        <w:spacing w:line="283" w:lineRule="auto" w:before="1"/>
        <w:ind w:left="415" w:right="679"/>
      </w:pPr>
      <w:r>
        <w:rPr/>
        <w:t>Figure 20: Multiple pieces of suspected ACM sheets in skip bin – evidence of poor removal methods being targeted as part of the audit program</w:t>
      </w:r>
    </w:p>
    <w:p>
      <w:pPr>
        <w:pStyle w:val="BodyText"/>
        <w:spacing w:before="3"/>
        <w:rPr>
          <w:sz w:val="9"/>
        </w:rPr>
      </w:pPr>
    </w:p>
    <w:p>
      <w:pPr>
        <w:pStyle w:val="BodyText"/>
        <w:ind w:left="415"/>
        <w:rPr>
          <w:sz w:val="20"/>
        </w:rPr>
      </w:pPr>
      <w:r>
        <w:rPr>
          <w:sz w:val="20"/>
        </w:rPr>
        <w:drawing>
          <wp:inline distT="0" distB="0" distL="0" distR="0">
            <wp:extent cx="2540046" cy="2289333"/>
            <wp:effectExtent l="0" t="0" r="0" b="0"/>
            <wp:docPr id="9" name="image3.jpeg" descr=""/>
            <wp:cNvGraphicFramePr>
              <a:graphicFrameLocks noChangeAspect="1"/>
            </wp:cNvGraphicFramePr>
            <a:graphic>
              <a:graphicData uri="http://schemas.openxmlformats.org/drawingml/2006/picture">
                <pic:pic>
                  <pic:nvPicPr>
                    <pic:cNvPr id="10" name="image3.jpeg"/>
                    <pic:cNvPicPr/>
                  </pic:nvPicPr>
                  <pic:blipFill>
                    <a:blip r:embed="rId8" cstate="print"/>
                    <a:stretch>
                      <a:fillRect/>
                    </a:stretch>
                  </pic:blipFill>
                  <pic:spPr>
                    <a:xfrm>
                      <a:off x="0" y="0"/>
                      <a:ext cx="2540046" cy="2289333"/>
                    </a:xfrm>
                    <a:prstGeom prst="rect">
                      <a:avLst/>
                    </a:prstGeom>
                  </pic:spPr>
                </pic:pic>
              </a:graphicData>
            </a:graphic>
          </wp:inline>
        </w:drawing>
      </w:r>
      <w:r>
        <w:rPr>
          <w:sz w:val="20"/>
        </w:rPr>
      </w:r>
    </w:p>
    <w:p>
      <w:pPr>
        <w:spacing w:after="0"/>
        <w:rPr>
          <w:sz w:val="20"/>
        </w:rPr>
        <w:sectPr>
          <w:type w:val="continuous"/>
          <w:pgSz w:w="23820" w:h="16840" w:orient="landscape"/>
          <w:pgMar w:top="1120" w:bottom="280" w:left="0" w:right="1020"/>
          <w:cols w:num="4" w:equalWidth="0">
            <w:col w:w="5150" w:space="40"/>
            <w:col w:w="5012" w:space="1703"/>
            <w:col w:w="5727" w:space="40"/>
            <w:col w:w="5128"/>
          </w:cols>
        </w:sectPr>
      </w:pPr>
    </w:p>
    <w:p>
      <w:pPr>
        <w:pStyle w:val="BodyText"/>
        <w:spacing w:before="5"/>
        <w:rPr>
          <w:sz w:val="8"/>
        </w:rPr>
      </w:pPr>
    </w:p>
    <w:p>
      <w:pPr>
        <w:tabs>
          <w:tab w:pos="22540" w:val="left" w:leader="none"/>
        </w:tabs>
        <w:spacing w:before="98"/>
        <w:ind w:left="1133" w:right="0" w:firstLine="0"/>
        <w:jc w:val="left"/>
        <w:rPr>
          <w:sz w:val="14"/>
        </w:rPr>
      </w:pPr>
      <w:r>
        <w:rPr>
          <w:sz w:val="14"/>
        </w:rPr>
        <w:t>34</w:t>
        <w:tab/>
        <w:t>35</w:t>
      </w:r>
    </w:p>
    <w:sectPr>
      <w:type w:val="continuous"/>
      <w:pgSz w:w="23820" w:h="16840" w:orient="landscape"/>
      <w:pgMar w:top="1120" w:bottom="280" w:left="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18"/>
      <w:szCs w:val="18"/>
    </w:rPr>
  </w:style>
  <w:style w:styleId="Heading1" w:type="paragraph">
    <w:name w:val="Heading 1"/>
    <w:basedOn w:val="Normal"/>
    <w:uiPriority w:val="1"/>
    <w:qFormat/>
    <w:pPr>
      <w:spacing w:before="38"/>
      <w:ind w:left="1700"/>
      <w:outlineLvl w:val="1"/>
    </w:pPr>
    <w:rPr>
      <w:rFonts w:ascii="Arial" w:hAnsi="Arial" w:eastAsia="Arial" w:cs="Arial"/>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worksafe.qld.gov.au/forms-and-" TargetMode="Externa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2018-12-12T02:10:41Z</dcterms:created>
  <dcterms:modified xsi:type="dcterms:W3CDTF">2018-12-12T02:10:41Z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Adobe InDesign CC 14.0 (Macintosh)</vt:lpwstr>
  </property>
  <property fmtid="{D5CDD505-2E9C-101B-9397-08002B2CF9AE}" pid="4" name="LastSaved">
    <vt:filetime>2018-12-12T00:00:00Z</vt:filetime>
  </property>
</Properties>
</file>