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91"/>
        <w:ind w:left="1711" w:right="0" w:firstLine="0"/>
        <w:jc w:val="left"/>
        <w:rPr>
          <w:rFonts w:ascii="Arial"/>
          <w:sz w:val="48"/>
        </w:rPr>
      </w:pPr>
      <w:r>
        <w:rPr/>
        <w:pict>
          <v:shape style="position:absolute;margin-left:56.693401pt;margin-top:-.22816pt;width:21.95pt;height:38.35pt;mso-position-horizontal-relative:page;mso-position-vertical-relative:paragraph;z-index:1024" coordorigin="1134,-5" coordsize="439,767" path="m1189,-5l1135,50,1463,378,1134,707,1189,762,1572,378,1189,-5xe" filled="true" fillcolor="#ed1d24" stroked="false">
            <v:path arrowok="t"/>
            <v:fill type="solid"/>
            <w10:wrap type="none"/>
          </v:shape>
        </w:pict>
      </w:r>
      <w:bookmarkStart w:name="ASEA_2017-18_Progress Report 15.pdf" w:id="1"/>
      <w:bookmarkEnd w:id="1"/>
      <w:r>
        <w:rPr/>
      </w:r>
      <w:r>
        <w:rPr>
          <w:rFonts w:ascii="Arial"/>
          <w:color w:val="542785"/>
          <w:w w:val="85"/>
          <w:sz w:val="48"/>
        </w:rPr>
        <w:t>NSW GOVERNMENT</w:t>
      </w:r>
    </w:p>
    <w:p>
      <w:pPr>
        <w:pStyle w:val="BodyText"/>
        <w:rPr>
          <w:rFonts w:ascii="Arial"/>
          <w:sz w:val="20"/>
        </w:rPr>
      </w:pPr>
    </w:p>
    <w:p>
      <w:pPr>
        <w:pStyle w:val="BodyText"/>
        <w:rPr>
          <w:rFonts w:ascii="Arial"/>
          <w:sz w:val="20"/>
        </w:rPr>
      </w:pPr>
    </w:p>
    <w:p>
      <w:pPr>
        <w:pStyle w:val="BodyText"/>
        <w:spacing w:before="6"/>
        <w:rPr>
          <w:rFonts w:ascii="Arial"/>
          <w:sz w:val="17"/>
        </w:rPr>
      </w:pPr>
    </w:p>
    <w:p>
      <w:pPr>
        <w:spacing w:after="0"/>
        <w:rPr>
          <w:rFonts w:ascii="Arial"/>
          <w:sz w:val="17"/>
        </w:rPr>
        <w:sectPr>
          <w:type w:val="continuous"/>
          <w:pgSz w:w="23820" w:h="16840" w:orient="landscape"/>
          <w:pgMar w:top="1120" w:bottom="280" w:left="0" w:right="1020"/>
        </w:sectPr>
      </w:pPr>
    </w:p>
    <w:p>
      <w:pPr>
        <w:pStyle w:val="BodyText"/>
        <w:rPr>
          <w:rFonts w:ascii="Arial"/>
          <w:sz w:val="32"/>
        </w:rPr>
      </w:pPr>
    </w:p>
    <w:p>
      <w:pPr>
        <w:pStyle w:val="BodyText"/>
        <w:rPr>
          <w:rFonts w:ascii="Arial"/>
          <w:sz w:val="32"/>
        </w:rPr>
      </w:pPr>
    </w:p>
    <w:p>
      <w:pPr>
        <w:pStyle w:val="BodyText"/>
        <w:spacing w:before="1"/>
        <w:rPr>
          <w:rFonts w:ascii="Arial"/>
          <w:sz w:val="39"/>
        </w:rPr>
      </w:pPr>
    </w:p>
    <w:p>
      <w:pPr>
        <w:spacing w:before="0"/>
        <w:ind w:left="1700" w:right="0" w:firstLine="0"/>
        <w:jc w:val="left"/>
        <w:rPr>
          <w:rFonts w:ascii="Arial"/>
          <w:sz w:val="28"/>
        </w:rPr>
      </w:pPr>
      <w:r>
        <w:rPr/>
        <w:pict>
          <v:group style="position:absolute;margin-left:0pt;margin-top:-52.433838pt;width:595.3pt;height:38.35pt;mso-position-horizontal-relative:page;mso-position-vertical-relative:paragraph;z-index:1072" coordorigin="0,-1049" coordsize="11906,767">
            <v:rect style="position:absolute;left:0;top:-1049;width:11906;height:767" filled="true" fillcolor="#7ed3f7" stroked="false">
              <v:fill type="solid"/>
            </v:rect>
            <v:shapetype id="_x0000_t202" o:spt="202" coordsize="21600,21600" path="m,l,21600r21600,l21600,xe">
              <v:stroke joinstyle="miter"/>
              <v:path gradientshapeok="t" o:connecttype="rect"/>
            </v:shapetype>
            <v:shape style="position:absolute;left:0;top:-1049;width:11906;height:767" type="#_x0000_t202" filled="false" stroked="false">
              <v:textbox inset="0,0,0,0">
                <w:txbxContent>
                  <w:p>
                    <w:pPr>
                      <w:spacing w:before="214"/>
                      <w:ind w:left="1700" w:right="0" w:firstLine="0"/>
                      <w:jc w:val="left"/>
                      <w:rPr>
                        <w:rFonts w:ascii="Arial" w:hAnsi="Arial"/>
                        <w:sz w:val="28"/>
                      </w:rPr>
                    </w:pPr>
                    <w:r>
                      <w:rPr>
                        <w:rFonts w:ascii="Arial" w:hAnsi="Arial"/>
                        <w:w w:val="90"/>
                        <w:sz w:val="28"/>
                      </w:rPr>
                      <w:t>SafeWork NSW – Improving asbestos awareness in Aboriginal communities</w:t>
                    </w:r>
                  </w:p>
                </w:txbxContent>
              </v:textbox>
              <w10:wrap type="none"/>
            </v:shape>
            <w10:wrap type="none"/>
          </v:group>
        </w:pict>
      </w:r>
      <w:r>
        <w:rPr>
          <w:rFonts w:ascii="Arial"/>
          <w:color w:val="7ED3F7"/>
          <w:w w:val="90"/>
          <w:sz w:val="28"/>
        </w:rPr>
        <w:t>Strategy:</w:t>
      </w:r>
    </w:p>
    <w:p>
      <w:pPr>
        <w:spacing w:before="38"/>
        <w:ind w:left="1700" w:right="0" w:firstLine="0"/>
        <w:jc w:val="left"/>
        <w:rPr>
          <w:rFonts w:ascii="Arial"/>
          <w:sz w:val="28"/>
        </w:rPr>
      </w:pPr>
      <w:r>
        <w:rPr>
          <w:rFonts w:ascii="Arial"/>
          <w:w w:val="90"/>
          <w:sz w:val="28"/>
        </w:rPr>
        <w:t>Awareness</w:t>
      </w:r>
    </w:p>
    <w:p>
      <w:pPr>
        <w:spacing w:before="168"/>
        <w:ind w:left="1700" w:right="0" w:firstLine="0"/>
        <w:jc w:val="left"/>
        <w:rPr>
          <w:rFonts w:ascii="Arial"/>
          <w:sz w:val="28"/>
        </w:rPr>
      </w:pPr>
      <w:r>
        <w:rPr>
          <w:rFonts w:ascii="Arial"/>
          <w:color w:val="7ED3F7"/>
          <w:w w:val="90"/>
          <w:sz w:val="28"/>
        </w:rPr>
        <w:t>Outcome:</w:t>
      </w:r>
    </w:p>
    <w:p>
      <w:pPr>
        <w:spacing w:line="268" w:lineRule="auto" w:before="39"/>
        <w:ind w:left="1700" w:right="-14" w:firstLine="0"/>
        <w:jc w:val="left"/>
        <w:rPr>
          <w:rFonts w:ascii="Arial"/>
          <w:sz w:val="28"/>
        </w:rPr>
      </w:pPr>
      <w:r>
        <w:rPr>
          <w:rFonts w:ascii="Arial"/>
          <w:w w:val="85"/>
          <w:sz w:val="28"/>
        </w:rPr>
        <w:t>(O1.3)</w:t>
      </w:r>
      <w:r>
        <w:rPr>
          <w:rFonts w:ascii="Arial"/>
          <w:spacing w:val="-41"/>
          <w:w w:val="85"/>
          <w:sz w:val="28"/>
        </w:rPr>
        <w:t> </w:t>
      </w:r>
      <w:r>
        <w:rPr>
          <w:rFonts w:ascii="Arial"/>
          <w:w w:val="85"/>
          <w:sz w:val="28"/>
        </w:rPr>
        <w:t>Demonstrated</w:t>
      </w:r>
      <w:r>
        <w:rPr>
          <w:rFonts w:ascii="Arial"/>
          <w:spacing w:val="-41"/>
          <w:w w:val="85"/>
          <w:sz w:val="28"/>
        </w:rPr>
        <w:t> </w:t>
      </w:r>
      <w:r>
        <w:rPr>
          <w:rFonts w:ascii="Arial"/>
          <w:w w:val="85"/>
          <w:sz w:val="28"/>
        </w:rPr>
        <w:t>cultural</w:t>
      </w:r>
      <w:r>
        <w:rPr>
          <w:rFonts w:ascii="Arial"/>
          <w:spacing w:val="-40"/>
          <w:w w:val="85"/>
          <w:sz w:val="28"/>
        </w:rPr>
        <w:t> </w:t>
      </w:r>
      <w:r>
        <w:rPr>
          <w:rFonts w:ascii="Arial"/>
          <w:w w:val="85"/>
          <w:sz w:val="28"/>
        </w:rPr>
        <w:t>and </w:t>
      </w:r>
      <w:r>
        <w:rPr>
          <w:rFonts w:ascii="Arial"/>
          <w:w w:val="90"/>
          <w:sz w:val="28"/>
        </w:rPr>
        <w:t>behavioural change within the </w:t>
      </w:r>
      <w:r>
        <w:rPr>
          <w:rFonts w:ascii="Arial"/>
          <w:w w:val="85"/>
          <w:sz w:val="28"/>
        </w:rPr>
        <w:t>community</w:t>
      </w:r>
      <w:r>
        <w:rPr>
          <w:rFonts w:ascii="Arial"/>
          <w:spacing w:val="-35"/>
          <w:w w:val="85"/>
          <w:sz w:val="28"/>
        </w:rPr>
        <w:t> </w:t>
      </w:r>
      <w:r>
        <w:rPr>
          <w:rFonts w:ascii="Arial"/>
          <w:w w:val="85"/>
          <w:sz w:val="28"/>
        </w:rPr>
        <w:t>as</w:t>
      </w:r>
      <w:r>
        <w:rPr>
          <w:rFonts w:ascii="Arial"/>
          <w:spacing w:val="-35"/>
          <w:w w:val="85"/>
          <w:sz w:val="28"/>
        </w:rPr>
        <w:t> </w:t>
      </w:r>
      <w:r>
        <w:rPr>
          <w:rFonts w:ascii="Arial"/>
          <w:w w:val="85"/>
          <w:sz w:val="28"/>
        </w:rPr>
        <w:t>a</w:t>
      </w:r>
      <w:r>
        <w:rPr>
          <w:rFonts w:ascii="Arial"/>
          <w:spacing w:val="-35"/>
          <w:w w:val="85"/>
          <w:sz w:val="28"/>
        </w:rPr>
        <w:t> </w:t>
      </w:r>
      <w:r>
        <w:rPr>
          <w:rFonts w:ascii="Arial"/>
          <w:w w:val="85"/>
          <w:sz w:val="28"/>
        </w:rPr>
        <w:t>result</w:t>
      </w:r>
      <w:r>
        <w:rPr>
          <w:rFonts w:ascii="Arial"/>
          <w:spacing w:val="-35"/>
          <w:w w:val="85"/>
          <w:sz w:val="28"/>
        </w:rPr>
        <w:t> </w:t>
      </w:r>
      <w:r>
        <w:rPr>
          <w:rFonts w:ascii="Arial"/>
          <w:w w:val="85"/>
          <w:sz w:val="28"/>
        </w:rPr>
        <w:t>of</w:t>
      </w:r>
      <w:r>
        <w:rPr>
          <w:rFonts w:ascii="Arial"/>
          <w:spacing w:val="-35"/>
          <w:w w:val="85"/>
          <w:sz w:val="28"/>
        </w:rPr>
        <w:t> </w:t>
      </w:r>
      <w:r>
        <w:rPr>
          <w:rFonts w:ascii="Arial"/>
          <w:w w:val="85"/>
          <w:sz w:val="28"/>
        </w:rPr>
        <w:t>improved understanding of both the health </w:t>
      </w:r>
      <w:r>
        <w:rPr>
          <w:rFonts w:ascii="Arial"/>
          <w:w w:val="90"/>
          <w:sz w:val="28"/>
        </w:rPr>
        <w:t>risks</w:t>
      </w:r>
      <w:r>
        <w:rPr>
          <w:rFonts w:ascii="Arial"/>
          <w:spacing w:val="-46"/>
          <w:w w:val="90"/>
          <w:sz w:val="28"/>
        </w:rPr>
        <w:t> </w:t>
      </w:r>
      <w:r>
        <w:rPr>
          <w:rFonts w:ascii="Arial"/>
          <w:w w:val="90"/>
          <w:sz w:val="28"/>
        </w:rPr>
        <w:t>and</w:t>
      </w:r>
      <w:r>
        <w:rPr>
          <w:rFonts w:ascii="Arial"/>
          <w:spacing w:val="-46"/>
          <w:w w:val="90"/>
          <w:sz w:val="28"/>
        </w:rPr>
        <w:t> </w:t>
      </w:r>
      <w:r>
        <w:rPr>
          <w:rFonts w:ascii="Arial"/>
          <w:w w:val="90"/>
          <w:sz w:val="28"/>
        </w:rPr>
        <w:t>exposure</w:t>
      </w:r>
      <w:r>
        <w:rPr>
          <w:rFonts w:ascii="Arial"/>
          <w:spacing w:val="-45"/>
          <w:w w:val="90"/>
          <w:sz w:val="28"/>
        </w:rPr>
        <w:t> </w:t>
      </w:r>
      <w:r>
        <w:rPr>
          <w:rFonts w:ascii="Arial"/>
          <w:w w:val="90"/>
          <w:sz w:val="28"/>
        </w:rPr>
        <w:t>pathways</w:t>
      </w:r>
      <w:r>
        <w:rPr>
          <w:rFonts w:ascii="Arial"/>
          <w:spacing w:val="-46"/>
          <w:w w:val="90"/>
          <w:sz w:val="28"/>
        </w:rPr>
        <w:t> </w:t>
      </w:r>
      <w:r>
        <w:rPr>
          <w:rFonts w:ascii="Arial"/>
          <w:w w:val="90"/>
          <w:sz w:val="28"/>
        </w:rPr>
        <w:t>of </w:t>
      </w:r>
      <w:r>
        <w:rPr>
          <w:rFonts w:ascii="Arial"/>
          <w:w w:val="85"/>
          <w:sz w:val="28"/>
        </w:rPr>
        <w:t>asbestos</w:t>
      </w:r>
      <w:r>
        <w:rPr>
          <w:rFonts w:ascii="Arial"/>
          <w:spacing w:val="-28"/>
          <w:w w:val="85"/>
          <w:sz w:val="28"/>
        </w:rPr>
        <w:t> </w:t>
      </w:r>
      <w:r>
        <w:rPr>
          <w:rFonts w:ascii="Arial"/>
          <w:w w:val="85"/>
          <w:sz w:val="28"/>
        </w:rPr>
        <w:t>in</w:t>
      </w:r>
      <w:r>
        <w:rPr>
          <w:rFonts w:ascii="Arial"/>
          <w:spacing w:val="-27"/>
          <w:w w:val="85"/>
          <w:sz w:val="28"/>
        </w:rPr>
        <w:t> </w:t>
      </w:r>
      <w:r>
        <w:rPr>
          <w:rFonts w:ascii="Arial"/>
          <w:w w:val="85"/>
          <w:sz w:val="28"/>
        </w:rPr>
        <w:t>both</w:t>
      </w:r>
      <w:r>
        <w:rPr>
          <w:rFonts w:ascii="Arial"/>
          <w:spacing w:val="-27"/>
          <w:w w:val="85"/>
          <w:sz w:val="28"/>
        </w:rPr>
        <w:t> </w:t>
      </w:r>
      <w:r>
        <w:rPr>
          <w:rFonts w:ascii="Arial"/>
          <w:w w:val="85"/>
          <w:sz w:val="28"/>
        </w:rPr>
        <w:t>commercial</w:t>
      </w:r>
      <w:r>
        <w:rPr>
          <w:rFonts w:ascii="Arial"/>
          <w:spacing w:val="-27"/>
          <w:w w:val="85"/>
          <w:sz w:val="28"/>
        </w:rPr>
        <w:t> </w:t>
      </w:r>
      <w:r>
        <w:rPr>
          <w:rFonts w:ascii="Arial"/>
          <w:w w:val="85"/>
          <w:sz w:val="28"/>
        </w:rPr>
        <w:t>and </w:t>
      </w:r>
      <w:r>
        <w:rPr>
          <w:rFonts w:ascii="Arial"/>
          <w:w w:val="90"/>
          <w:sz w:val="28"/>
        </w:rPr>
        <w:t>residential</w:t>
      </w:r>
      <w:r>
        <w:rPr>
          <w:rFonts w:ascii="Arial"/>
          <w:spacing w:val="-19"/>
          <w:w w:val="90"/>
          <w:sz w:val="28"/>
        </w:rPr>
        <w:t> </w:t>
      </w:r>
      <w:r>
        <w:rPr>
          <w:rFonts w:ascii="Arial"/>
          <w:w w:val="90"/>
          <w:sz w:val="28"/>
        </w:rPr>
        <w:t>environments</w:t>
      </w:r>
    </w:p>
    <w:p>
      <w:pPr>
        <w:spacing w:before="126"/>
        <w:ind w:left="1700" w:right="0" w:firstLine="0"/>
        <w:jc w:val="left"/>
        <w:rPr>
          <w:rFonts w:ascii="Arial"/>
          <w:sz w:val="28"/>
        </w:rPr>
      </w:pPr>
      <w:r>
        <w:rPr>
          <w:rFonts w:ascii="Arial"/>
          <w:color w:val="7ED3F7"/>
          <w:w w:val="90"/>
          <w:sz w:val="28"/>
        </w:rPr>
        <w:t>Deliverable:</w:t>
      </w:r>
    </w:p>
    <w:p>
      <w:pPr>
        <w:spacing w:line="268" w:lineRule="auto" w:before="38"/>
        <w:ind w:left="1700" w:right="204" w:firstLine="0"/>
        <w:jc w:val="left"/>
        <w:rPr>
          <w:rFonts w:ascii="Arial"/>
          <w:sz w:val="28"/>
        </w:rPr>
      </w:pPr>
      <w:r>
        <w:rPr>
          <w:rFonts w:ascii="Arial"/>
          <w:w w:val="90"/>
          <w:sz w:val="28"/>
        </w:rPr>
        <w:t>(D1.3) Develop practical, </w:t>
      </w:r>
      <w:r>
        <w:rPr>
          <w:rFonts w:ascii="Arial"/>
          <w:w w:val="80"/>
          <w:sz w:val="28"/>
        </w:rPr>
        <w:t>evidence-based asbestos safety </w:t>
      </w:r>
      <w:r>
        <w:rPr>
          <w:rFonts w:ascii="Arial"/>
          <w:w w:val="85"/>
          <w:sz w:val="28"/>
        </w:rPr>
        <w:t>awareness material for people likely to come into contact with </w:t>
      </w:r>
      <w:r>
        <w:rPr>
          <w:rFonts w:ascii="Arial"/>
          <w:w w:val="90"/>
          <w:sz w:val="28"/>
        </w:rPr>
        <w:t>ACMs in a residential setting</w:t>
      </w:r>
    </w:p>
    <w:p>
      <w:pPr>
        <w:spacing w:line="268" w:lineRule="auto" w:before="127"/>
        <w:ind w:left="1700" w:right="2526" w:firstLine="0"/>
        <w:jc w:val="left"/>
        <w:rPr>
          <w:rFonts w:ascii="Arial"/>
          <w:sz w:val="28"/>
        </w:rPr>
      </w:pPr>
      <w:r>
        <w:rPr>
          <w:rFonts w:ascii="Arial"/>
          <w:color w:val="7ED3F7"/>
          <w:w w:val="80"/>
          <w:sz w:val="28"/>
        </w:rPr>
        <w:t>Location: </w:t>
      </w:r>
      <w:r>
        <w:rPr>
          <w:rFonts w:ascii="Arial"/>
          <w:w w:val="85"/>
          <w:sz w:val="28"/>
        </w:rPr>
        <w:t>NSW</w:t>
      </w:r>
    </w:p>
    <w:p>
      <w:pPr>
        <w:pStyle w:val="BodyText"/>
        <w:rPr>
          <w:rFonts w:ascii="Arial"/>
          <w:sz w:val="32"/>
        </w:rPr>
      </w:pPr>
      <w:r>
        <w:rPr/>
        <w:br w:type="column"/>
      </w:r>
      <w:r>
        <w:rPr>
          <w:rFonts w:ascii="Arial"/>
          <w:sz w:val="32"/>
        </w:rPr>
      </w:r>
    </w:p>
    <w:p>
      <w:pPr>
        <w:pStyle w:val="BodyText"/>
        <w:rPr>
          <w:rFonts w:ascii="Arial"/>
          <w:sz w:val="32"/>
        </w:rPr>
      </w:pPr>
    </w:p>
    <w:p>
      <w:pPr>
        <w:pStyle w:val="BodyText"/>
        <w:spacing w:before="2"/>
        <w:rPr>
          <w:rFonts w:ascii="Arial"/>
          <w:sz w:val="39"/>
        </w:rPr>
      </w:pPr>
    </w:p>
    <w:p>
      <w:pPr>
        <w:spacing w:before="0"/>
        <w:ind w:left="984" w:right="0" w:firstLine="0"/>
        <w:jc w:val="left"/>
        <w:rPr>
          <w:rFonts w:ascii="Arial"/>
          <w:sz w:val="28"/>
        </w:rPr>
      </w:pPr>
      <w:r>
        <w:rPr>
          <w:rFonts w:ascii="Arial"/>
          <w:w w:val="90"/>
          <w:sz w:val="28"/>
        </w:rPr>
        <w:t>The issue</w:t>
      </w:r>
    </w:p>
    <w:p>
      <w:pPr>
        <w:pStyle w:val="BodyText"/>
        <w:spacing w:line="283" w:lineRule="auto" w:before="159"/>
        <w:ind w:left="984" w:right="131"/>
      </w:pPr>
      <w:r>
        <w:rPr/>
        <w:t>Many Aboriginal communities in NSW contain fibro houses and buildings, and may have limited or no access</w:t>
      </w:r>
      <w:r>
        <w:rPr>
          <w:spacing w:val="-15"/>
        </w:rPr>
        <w:t> </w:t>
      </w:r>
      <w:r>
        <w:rPr/>
        <w:t>to</w:t>
      </w:r>
      <w:r>
        <w:rPr>
          <w:spacing w:val="-14"/>
        </w:rPr>
        <w:t> </w:t>
      </w:r>
      <w:r>
        <w:rPr/>
        <w:t>information</w:t>
      </w:r>
      <w:r>
        <w:rPr>
          <w:spacing w:val="-15"/>
        </w:rPr>
        <w:t> </w:t>
      </w:r>
      <w:r>
        <w:rPr/>
        <w:t>on</w:t>
      </w:r>
      <w:r>
        <w:rPr>
          <w:spacing w:val="-14"/>
        </w:rPr>
        <w:t> </w:t>
      </w:r>
      <w:r>
        <w:rPr/>
        <w:t>the</w:t>
      </w:r>
      <w:r>
        <w:rPr>
          <w:spacing w:val="-14"/>
        </w:rPr>
        <w:t> </w:t>
      </w:r>
      <w:r>
        <w:rPr/>
        <w:t>health</w:t>
      </w:r>
      <w:r>
        <w:rPr>
          <w:spacing w:val="-15"/>
        </w:rPr>
        <w:t> </w:t>
      </w:r>
      <w:r>
        <w:rPr/>
        <w:t>risks</w:t>
      </w:r>
      <w:r>
        <w:rPr>
          <w:spacing w:val="-14"/>
        </w:rPr>
        <w:t> </w:t>
      </w:r>
      <w:r>
        <w:rPr/>
        <w:t>of</w:t>
      </w:r>
      <w:r>
        <w:rPr>
          <w:spacing w:val="-14"/>
        </w:rPr>
        <w:t> </w:t>
      </w:r>
      <w:r>
        <w:rPr/>
        <w:t>asbestos</w:t>
      </w:r>
      <w:r>
        <w:rPr>
          <w:spacing w:val="-15"/>
        </w:rPr>
        <w:t> </w:t>
      </w:r>
      <w:r>
        <w:rPr/>
        <w:t>or safe</w:t>
      </w:r>
      <w:r>
        <w:rPr>
          <w:spacing w:val="-20"/>
        </w:rPr>
        <w:t> </w:t>
      </w:r>
      <w:r>
        <w:rPr/>
        <w:t>behaviours</w:t>
      </w:r>
      <w:r>
        <w:rPr>
          <w:spacing w:val="-19"/>
        </w:rPr>
        <w:t> </w:t>
      </w:r>
      <w:r>
        <w:rPr/>
        <w:t>around</w:t>
      </w:r>
      <w:r>
        <w:rPr>
          <w:spacing w:val="-19"/>
        </w:rPr>
        <w:t> </w:t>
      </w:r>
      <w:r>
        <w:rPr/>
        <w:t>asbestos</w:t>
      </w:r>
      <w:r>
        <w:rPr>
          <w:spacing w:val="-19"/>
        </w:rPr>
        <w:t> </w:t>
      </w:r>
      <w:r>
        <w:rPr/>
        <w:t>containing</w:t>
      </w:r>
      <w:r>
        <w:rPr>
          <w:spacing w:val="-19"/>
        </w:rPr>
        <w:t> </w:t>
      </w:r>
      <w:r>
        <w:rPr/>
        <w:t>materials. Aboriginal</w:t>
      </w:r>
      <w:r>
        <w:rPr>
          <w:spacing w:val="-14"/>
        </w:rPr>
        <w:t> </w:t>
      </w:r>
      <w:r>
        <w:rPr/>
        <w:t>land</w:t>
      </w:r>
      <w:r>
        <w:rPr>
          <w:spacing w:val="-14"/>
        </w:rPr>
        <w:t> </w:t>
      </w:r>
      <w:r>
        <w:rPr/>
        <w:t>is</w:t>
      </w:r>
      <w:r>
        <w:rPr>
          <w:spacing w:val="-14"/>
        </w:rPr>
        <w:t> </w:t>
      </w:r>
      <w:r>
        <w:rPr/>
        <w:t>also</w:t>
      </w:r>
      <w:r>
        <w:rPr>
          <w:spacing w:val="-13"/>
        </w:rPr>
        <w:t> </w:t>
      </w:r>
      <w:r>
        <w:rPr/>
        <w:t>particularly</w:t>
      </w:r>
      <w:r>
        <w:rPr>
          <w:spacing w:val="-14"/>
        </w:rPr>
        <w:t> </w:t>
      </w:r>
      <w:r>
        <w:rPr/>
        <w:t>susceptible</w:t>
      </w:r>
      <w:r>
        <w:rPr>
          <w:spacing w:val="-14"/>
        </w:rPr>
        <w:t> </w:t>
      </w:r>
      <w:r>
        <w:rPr/>
        <w:t>to</w:t>
      </w:r>
      <w:r>
        <w:rPr>
          <w:spacing w:val="-14"/>
        </w:rPr>
        <w:t> </w:t>
      </w:r>
      <w:r>
        <w:rPr/>
        <w:t>illegal dumping of asbestos because it is often located in remote</w:t>
      </w:r>
      <w:r>
        <w:rPr>
          <w:spacing w:val="-11"/>
        </w:rPr>
        <w:t> </w:t>
      </w:r>
      <w:r>
        <w:rPr/>
        <w:t>areas</w:t>
      </w:r>
      <w:r>
        <w:rPr>
          <w:spacing w:val="-10"/>
        </w:rPr>
        <w:t> </w:t>
      </w:r>
      <w:r>
        <w:rPr/>
        <w:t>or</w:t>
      </w:r>
      <w:r>
        <w:rPr>
          <w:spacing w:val="-10"/>
        </w:rPr>
        <w:t> </w:t>
      </w:r>
      <w:r>
        <w:rPr/>
        <w:t>undeveloped</w:t>
      </w:r>
      <w:r>
        <w:rPr>
          <w:spacing w:val="-10"/>
        </w:rPr>
        <w:t> </w:t>
      </w:r>
      <w:r>
        <w:rPr/>
        <w:t>urban</w:t>
      </w:r>
      <w:r>
        <w:rPr>
          <w:spacing w:val="-10"/>
        </w:rPr>
        <w:t> </w:t>
      </w:r>
      <w:r>
        <w:rPr/>
        <w:t>parcels</w:t>
      </w:r>
      <w:r>
        <w:rPr>
          <w:spacing w:val="-10"/>
        </w:rPr>
        <w:t> </w:t>
      </w:r>
      <w:r>
        <w:rPr/>
        <w:t>of</w:t>
      </w:r>
      <w:r>
        <w:rPr>
          <w:spacing w:val="-10"/>
        </w:rPr>
        <w:t> </w:t>
      </w:r>
      <w:r>
        <w:rPr/>
        <w:t>land.</w:t>
      </w:r>
    </w:p>
    <w:p>
      <w:pPr>
        <w:pStyle w:val="BodyText"/>
        <w:spacing w:line="283" w:lineRule="auto" w:before="4"/>
        <w:ind w:left="984" w:right="-8"/>
      </w:pPr>
      <w:r>
        <w:rPr/>
        <w:t>There is also a lack of licensed asbestos removalists in regional areas where many Aboriginal communities are located.</w:t>
      </w:r>
    </w:p>
    <w:p>
      <w:pPr>
        <w:pStyle w:val="BodyText"/>
        <w:spacing w:line="283" w:lineRule="auto" w:before="132"/>
        <w:ind w:left="984" w:right="254"/>
      </w:pPr>
      <w:r>
        <w:rPr>
          <w:spacing w:val="-6"/>
        </w:rPr>
        <w:t>To </w:t>
      </w:r>
      <w:r>
        <w:rPr/>
        <w:t>address this issue, an initiative of the NSW </w:t>
      </w:r>
      <w:r>
        <w:rPr>
          <w:spacing w:val="-5"/>
        </w:rPr>
        <w:t>2013– 2016 </w:t>
      </w:r>
      <w:r>
        <w:rPr/>
        <w:t>State Wide Asbestos Plan was to ‘work with communities in regional, rural and remote regions of </w:t>
      </w:r>
      <w:r>
        <w:rPr>
          <w:spacing w:val="-3"/>
        </w:rPr>
        <w:t>NSW, </w:t>
      </w:r>
      <w:r>
        <w:rPr/>
        <w:t>including the Aboriginal Land Councils and communities, to promote the safe management of asbestos’.</w:t>
      </w:r>
    </w:p>
    <w:p>
      <w:pPr>
        <w:pStyle w:val="BodyText"/>
        <w:spacing w:line="283" w:lineRule="auto" w:before="134"/>
        <w:ind w:left="984" w:right="254"/>
      </w:pPr>
      <w:r>
        <w:rPr/>
        <w:t>A Heads of Asbestos Coordination Authorities (HACA) sub working group was established with representatives from the:</w:t>
      </w:r>
    </w:p>
    <w:p>
      <w:pPr>
        <w:pStyle w:val="BodyText"/>
        <w:spacing w:line="424" w:lineRule="auto" w:before="133"/>
        <w:ind w:left="984" w:right="812"/>
      </w:pPr>
      <w:r>
        <w:rPr>
          <w:position w:val="-3"/>
        </w:rPr>
        <w:drawing>
          <wp:inline distT="0" distB="0" distL="0" distR="0">
            <wp:extent cx="71843" cy="111455"/>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71843" cy="111455"/>
                    </a:xfrm>
                    <a:prstGeom prst="rect">
                      <a:avLst/>
                    </a:prstGeom>
                  </pic:spPr>
                </pic:pic>
              </a:graphicData>
            </a:graphic>
          </wp:inline>
        </w:drawing>
      </w:r>
      <w:r>
        <w:rPr>
          <w:position w:val="-3"/>
        </w:rPr>
      </w:r>
      <w:r>
        <w:rPr>
          <w:rFonts w:ascii="Times New Roman"/>
          <w:sz w:val="20"/>
        </w:rPr>
        <w:t>  </w:t>
      </w:r>
      <w:r>
        <w:rPr>
          <w:rFonts w:ascii="Times New Roman"/>
          <w:spacing w:val="20"/>
          <w:sz w:val="20"/>
        </w:rPr>
        <w:t> </w:t>
      </w:r>
      <w:r>
        <w:rPr/>
        <w:t>Asbestos Safety and</w:t>
      </w:r>
      <w:r>
        <w:rPr>
          <w:spacing w:val="-31"/>
        </w:rPr>
        <w:t> </w:t>
      </w:r>
      <w:r>
        <w:rPr/>
        <w:t>Eradication</w:t>
      </w:r>
      <w:r>
        <w:rPr>
          <w:spacing w:val="-10"/>
        </w:rPr>
        <w:t> </w:t>
      </w:r>
      <w:r>
        <w:rPr/>
        <w:t>Agency</w:t>
      </w:r>
      <w:r>
        <w:rPr>
          <w:w w:val="97"/>
        </w:rPr>
        <w:t> </w:t>
      </w:r>
      <w:r>
        <w:rPr>
          <w:w w:val="97"/>
          <w:position w:val="-3"/>
        </w:rPr>
        <w:drawing>
          <wp:inline distT="0" distB="0" distL="0" distR="0">
            <wp:extent cx="71843" cy="111455"/>
            <wp:effectExtent l="0" t="0" r="0" b="0"/>
            <wp:docPr id="3" name="image1.png" descr=""/>
            <wp:cNvGraphicFramePr>
              <a:graphicFrameLocks noChangeAspect="1"/>
            </wp:cNvGraphicFramePr>
            <a:graphic>
              <a:graphicData uri="http://schemas.openxmlformats.org/drawingml/2006/picture">
                <pic:pic>
                  <pic:nvPicPr>
                    <pic:cNvPr id="4" name="image1.png"/>
                    <pic:cNvPicPr/>
                  </pic:nvPicPr>
                  <pic:blipFill>
                    <a:blip r:embed="rId5" cstate="print"/>
                    <a:stretch>
                      <a:fillRect/>
                    </a:stretch>
                  </pic:blipFill>
                  <pic:spPr>
                    <a:xfrm>
                      <a:off x="0" y="0"/>
                      <a:ext cx="71843" cy="111455"/>
                    </a:xfrm>
                    <a:prstGeom prst="rect">
                      <a:avLst/>
                    </a:prstGeom>
                  </pic:spPr>
                </pic:pic>
              </a:graphicData>
            </a:graphic>
          </wp:inline>
        </w:drawing>
      </w:r>
      <w:r>
        <w:rPr>
          <w:w w:val="97"/>
          <w:position w:val="-3"/>
        </w:rPr>
      </w:r>
      <w:r>
        <w:rPr>
          <w:rFonts w:ascii="Times New Roman"/>
          <w:w w:val="97"/>
        </w:rPr>
        <w:t>   </w:t>
      </w:r>
      <w:r>
        <w:rPr>
          <w:rFonts w:ascii="Times New Roman"/>
          <w:spacing w:val="-5"/>
          <w:w w:val="97"/>
        </w:rPr>
        <w:t> </w:t>
      </w:r>
      <w:r>
        <w:rPr/>
        <w:t>Environment Protection</w:t>
      </w:r>
      <w:r>
        <w:rPr>
          <w:spacing w:val="-13"/>
        </w:rPr>
        <w:t> </w:t>
      </w:r>
      <w:r>
        <w:rPr/>
        <w:t>Authority</w:t>
      </w:r>
    </w:p>
    <w:p>
      <w:pPr>
        <w:pStyle w:val="BodyText"/>
        <w:spacing w:line="424" w:lineRule="auto" w:before="2"/>
        <w:ind w:left="984" w:right="2042"/>
      </w:pPr>
      <w:r>
        <w:rPr>
          <w:position w:val="-3"/>
        </w:rPr>
        <w:drawing>
          <wp:inline distT="0" distB="0" distL="0" distR="0">
            <wp:extent cx="71843" cy="111455"/>
            <wp:effectExtent l="0" t="0" r="0" b="0"/>
            <wp:docPr id="5" name="image1.png" descr=""/>
            <wp:cNvGraphicFramePr>
              <a:graphicFrameLocks noChangeAspect="1"/>
            </wp:cNvGraphicFramePr>
            <a:graphic>
              <a:graphicData uri="http://schemas.openxmlformats.org/drawingml/2006/picture">
                <pic:pic>
                  <pic:nvPicPr>
                    <pic:cNvPr id="6" name="image1.png"/>
                    <pic:cNvPicPr/>
                  </pic:nvPicPr>
                  <pic:blipFill>
                    <a:blip r:embed="rId5" cstate="print"/>
                    <a:stretch>
                      <a:fillRect/>
                    </a:stretch>
                  </pic:blipFill>
                  <pic:spPr>
                    <a:xfrm>
                      <a:off x="0" y="0"/>
                      <a:ext cx="71843" cy="111455"/>
                    </a:xfrm>
                    <a:prstGeom prst="rect">
                      <a:avLst/>
                    </a:prstGeom>
                  </pic:spPr>
                </pic:pic>
              </a:graphicData>
            </a:graphic>
          </wp:inline>
        </w:drawing>
      </w:r>
      <w:r>
        <w:rPr>
          <w:position w:val="-3"/>
        </w:rPr>
      </w:r>
      <w:r>
        <w:rPr>
          <w:rFonts w:ascii="Times New Roman"/>
          <w:sz w:val="20"/>
        </w:rPr>
        <w:t>  </w:t>
      </w:r>
      <w:r>
        <w:rPr>
          <w:rFonts w:ascii="Times New Roman"/>
          <w:spacing w:val="20"/>
          <w:sz w:val="20"/>
        </w:rPr>
        <w:t> </w:t>
      </w:r>
      <w:r>
        <w:rPr/>
        <w:t>Local</w:t>
      </w:r>
      <w:r>
        <w:rPr>
          <w:spacing w:val="-16"/>
        </w:rPr>
        <w:t> </w:t>
      </w:r>
      <w:r>
        <w:rPr/>
        <w:t>Government</w:t>
      </w:r>
      <w:r>
        <w:rPr>
          <w:spacing w:val="-16"/>
        </w:rPr>
        <w:t> </w:t>
      </w:r>
      <w:r>
        <w:rPr/>
        <w:t>NSW</w:t>
      </w:r>
      <w:r>
        <w:rPr>
          <w:w w:val="92"/>
        </w:rPr>
        <w:t> </w:t>
      </w:r>
      <w:r>
        <w:rPr>
          <w:w w:val="92"/>
          <w:position w:val="-3"/>
        </w:rPr>
        <w:drawing>
          <wp:inline distT="0" distB="0" distL="0" distR="0">
            <wp:extent cx="71843" cy="111455"/>
            <wp:effectExtent l="0" t="0" r="0" b="0"/>
            <wp:docPr id="7" name="image1.png" descr=""/>
            <wp:cNvGraphicFramePr>
              <a:graphicFrameLocks noChangeAspect="1"/>
            </wp:cNvGraphicFramePr>
            <a:graphic>
              <a:graphicData uri="http://schemas.openxmlformats.org/drawingml/2006/picture">
                <pic:pic>
                  <pic:nvPicPr>
                    <pic:cNvPr id="8" name="image1.png"/>
                    <pic:cNvPicPr/>
                  </pic:nvPicPr>
                  <pic:blipFill>
                    <a:blip r:embed="rId5" cstate="print"/>
                    <a:stretch>
                      <a:fillRect/>
                    </a:stretch>
                  </pic:blipFill>
                  <pic:spPr>
                    <a:xfrm>
                      <a:off x="0" y="0"/>
                      <a:ext cx="71843" cy="111455"/>
                    </a:xfrm>
                    <a:prstGeom prst="rect">
                      <a:avLst/>
                    </a:prstGeom>
                  </pic:spPr>
                </pic:pic>
              </a:graphicData>
            </a:graphic>
          </wp:inline>
        </w:drawing>
      </w:r>
      <w:r>
        <w:rPr>
          <w:w w:val="92"/>
          <w:position w:val="-3"/>
        </w:rPr>
      </w:r>
      <w:r>
        <w:rPr>
          <w:rFonts w:ascii="Times New Roman"/>
          <w:w w:val="92"/>
        </w:rPr>
        <w:t>   </w:t>
      </w:r>
      <w:r>
        <w:rPr>
          <w:rFonts w:ascii="Times New Roman"/>
          <w:spacing w:val="4"/>
          <w:w w:val="92"/>
        </w:rPr>
        <w:t> </w:t>
      </w:r>
      <w:r>
        <w:rPr/>
        <w:t>Ministry of</w:t>
      </w:r>
      <w:r>
        <w:rPr>
          <w:spacing w:val="-13"/>
        </w:rPr>
        <w:t> </w:t>
      </w:r>
      <w:r>
        <w:rPr/>
        <w:t>Health</w:t>
      </w:r>
    </w:p>
    <w:p>
      <w:pPr>
        <w:pStyle w:val="BodyText"/>
        <w:spacing w:line="424" w:lineRule="auto" w:before="3"/>
        <w:ind w:left="984" w:right="1522"/>
      </w:pPr>
      <w:r>
        <w:rPr>
          <w:position w:val="-3"/>
        </w:rPr>
        <w:drawing>
          <wp:inline distT="0" distB="0" distL="0" distR="0">
            <wp:extent cx="71843" cy="111455"/>
            <wp:effectExtent l="0" t="0" r="0" b="0"/>
            <wp:docPr id="9" name="image1.png" descr=""/>
            <wp:cNvGraphicFramePr>
              <a:graphicFrameLocks noChangeAspect="1"/>
            </wp:cNvGraphicFramePr>
            <a:graphic>
              <a:graphicData uri="http://schemas.openxmlformats.org/drawingml/2006/picture">
                <pic:pic>
                  <pic:nvPicPr>
                    <pic:cNvPr id="10" name="image1.png"/>
                    <pic:cNvPicPr/>
                  </pic:nvPicPr>
                  <pic:blipFill>
                    <a:blip r:embed="rId5" cstate="print"/>
                    <a:stretch>
                      <a:fillRect/>
                    </a:stretch>
                  </pic:blipFill>
                  <pic:spPr>
                    <a:xfrm>
                      <a:off x="0" y="0"/>
                      <a:ext cx="71843" cy="111455"/>
                    </a:xfrm>
                    <a:prstGeom prst="rect">
                      <a:avLst/>
                    </a:prstGeom>
                  </pic:spPr>
                </pic:pic>
              </a:graphicData>
            </a:graphic>
          </wp:inline>
        </w:drawing>
      </w:r>
      <w:r>
        <w:rPr>
          <w:position w:val="-3"/>
        </w:rPr>
      </w:r>
      <w:r>
        <w:rPr>
          <w:rFonts w:ascii="Times New Roman" w:hAnsi="Times New Roman"/>
          <w:sz w:val="20"/>
        </w:rPr>
        <w:t>  </w:t>
      </w:r>
      <w:r>
        <w:rPr>
          <w:rFonts w:ascii="Times New Roman" w:hAnsi="Times New Roman"/>
          <w:spacing w:val="20"/>
          <w:sz w:val="20"/>
        </w:rPr>
        <w:t> </w:t>
      </w:r>
      <w:r>
        <w:rPr/>
        <w:t>NSW Aboriginal</w:t>
      </w:r>
      <w:r>
        <w:rPr>
          <w:spacing w:val="-18"/>
        </w:rPr>
        <w:t> </w:t>
      </w:r>
      <w:r>
        <w:rPr/>
        <w:t>Housing</w:t>
      </w:r>
      <w:r>
        <w:rPr>
          <w:spacing w:val="-9"/>
        </w:rPr>
        <w:t> </w:t>
      </w:r>
      <w:r>
        <w:rPr/>
        <w:t>Office</w:t>
      </w:r>
      <w:r>
        <w:rPr>
          <w:w w:val="97"/>
        </w:rPr>
        <w:t> </w:t>
      </w:r>
      <w:r>
        <w:rPr>
          <w:w w:val="97"/>
          <w:position w:val="-3"/>
        </w:rPr>
        <w:drawing>
          <wp:inline distT="0" distB="0" distL="0" distR="0">
            <wp:extent cx="71843" cy="111455"/>
            <wp:effectExtent l="0" t="0" r="0" b="0"/>
            <wp:docPr id="11" name="image1.png" descr=""/>
            <wp:cNvGraphicFramePr>
              <a:graphicFrameLocks noChangeAspect="1"/>
            </wp:cNvGraphicFramePr>
            <a:graphic>
              <a:graphicData uri="http://schemas.openxmlformats.org/drawingml/2006/picture">
                <pic:pic>
                  <pic:nvPicPr>
                    <pic:cNvPr id="12" name="image1.png"/>
                    <pic:cNvPicPr/>
                  </pic:nvPicPr>
                  <pic:blipFill>
                    <a:blip r:embed="rId5" cstate="print"/>
                    <a:stretch>
                      <a:fillRect/>
                    </a:stretch>
                  </pic:blipFill>
                  <pic:spPr>
                    <a:xfrm>
                      <a:off x="0" y="0"/>
                      <a:ext cx="71843" cy="111455"/>
                    </a:xfrm>
                    <a:prstGeom prst="rect">
                      <a:avLst/>
                    </a:prstGeom>
                  </pic:spPr>
                </pic:pic>
              </a:graphicData>
            </a:graphic>
          </wp:inline>
        </w:drawing>
      </w:r>
      <w:r>
        <w:rPr>
          <w:w w:val="97"/>
          <w:position w:val="-3"/>
        </w:rPr>
      </w:r>
      <w:r>
        <w:rPr>
          <w:rFonts w:ascii="Times New Roman" w:hAnsi="Times New Roman"/>
          <w:w w:val="97"/>
        </w:rPr>
        <w:t>   </w:t>
      </w:r>
      <w:r>
        <w:rPr>
          <w:rFonts w:ascii="Times New Roman" w:hAnsi="Times New Roman"/>
          <w:spacing w:val="-6"/>
          <w:w w:val="97"/>
        </w:rPr>
        <w:t> </w:t>
      </w:r>
      <w:r>
        <w:rPr/>
        <w:t>NSW Aboriginal</w:t>
      </w:r>
      <w:r>
        <w:rPr>
          <w:spacing w:val="-12"/>
        </w:rPr>
        <w:t> </w:t>
      </w:r>
      <w:r>
        <w:rPr/>
        <w:t>Land</w:t>
      </w:r>
      <w:r>
        <w:rPr>
          <w:spacing w:val="-6"/>
        </w:rPr>
        <w:t> </w:t>
      </w:r>
      <w:r>
        <w:rPr/>
        <w:t>Council</w:t>
      </w:r>
      <w:r>
        <w:rPr>
          <w:w w:val="92"/>
        </w:rPr>
        <w:t>  </w:t>
      </w:r>
      <w:r>
        <w:rPr>
          <w:w w:val="92"/>
          <w:position w:val="-3"/>
        </w:rPr>
        <w:drawing>
          <wp:inline distT="0" distB="0" distL="0" distR="0">
            <wp:extent cx="71843" cy="111455"/>
            <wp:effectExtent l="0" t="0" r="0" b="0"/>
            <wp:docPr id="13" name="image1.png" descr=""/>
            <wp:cNvGraphicFramePr>
              <a:graphicFrameLocks noChangeAspect="1"/>
            </wp:cNvGraphicFramePr>
            <a:graphic>
              <a:graphicData uri="http://schemas.openxmlformats.org/drawingml/2006/picture">
                <pic:pic>
                  <pic:nvPicPr>
                    <pic:cNvPr id="14" name="image1.png"/>
                    <pic:cNvPicPr/>
                  </pic:nvPicPr>
                  <pic:blipFill>
                    <a:blip r:embed="rId5" cstate="print"/>
                    <a:stretch>
                      <a:fillRect/>
                    </a:stretch>
                  </pic:blipFill>
                  <pic:spPr>
                    <a:xfrm>
                      <a:off x="0" y="0"/>
                      <a:ext cx="71843" cy="111455"/>
                    </a:xfrm>
                    <a:prstGeom prst="rect">
                      <a:avLst/>
                    </a:prstGeom>
                  </pic:spPr>
                </pic:pic>
              </a:graphicData>
            </a:graphic>
          </wp:inline>
        </w:drawing>
      </w:r>
      <w:r>
        <w:rPr>
          <w:w w:val="92"/>
          <w:position w:val="-3"/>
        </w:rPr>
      </w:r>
      <w:r>
        <w:rPr>
          <w:rFonts w:ascii="Times New Roman" w:hAnsi="Times New Roman"/>
          <w:w w:val="92"/>
        </w:rPr>
        <w:t>   </w:t>
      </w:r>
      <w:r>
        <w:rPr>
          <w:rFonts w:ascii="Times New Roman" w:hAnsi="Times New Roman"/>
          <w:spacing w:val="4"/>
          <w:w w:val="92"/>
        </w:rPr>
        <w:t> </w:t>
      </w:r>
      <w:r>
        <w:rPr/>
        <w:t>NSW Ombudsman’s</w:t>
      </w:r>
      <w:r>
        <w:rPr>
          <w:spacing w:val="-15"/>
        </w:rPr>
        <w:t> </w:t>
      </w:r>
      <w:r>
        <w:rPr/>
        <w:t>Office.</w:t>
      </w:r>
    </w:p>
    <w:p>
      <w:pPr>
        <w:pStyle w:val="BodyText"/>
        <w:spacing w:line="283" w:lineRule="auto" w:before="3"/>
        <w:ind w:left="984"/>
      </w:pPr>
      <w:r>
        <w:rPr/>
        <w:t>The group undertook research and consultation with local Aboriginal Land Councils to develop an effective and culturally appropriate program aiming to:</w:t>
      </w:r>
    </w:p>
    <w:p>
      <w:pPr>
        <w:pStyle w:val="BodyText"/>
        <w:spacing w:line="283" w:lineRule="auto" w:before="132"/>
        <w:ind w:left="1267" w:right="190" w:hanging="284"/>
      </w:pPr>
      <w:r>
        <w:rPr>
          <w:position w:val="-3"/>
        </w:rPr>
        <w:drawing>
          <wp:inline distT="0" distB="0" distL="0" distR="0">
            <wp:extent cx="71843" cy="111455"/>
            <wp:effectExtent l="0" t="0" r="0" b="0"/>
            <wp:docPr id="15" name="image1.png" descr=""/>
            <wp:cNvGraphicFramePr>
              <a:graphicFrameLocks noChangeAspect="1"/>
            </wp:cNvGraphicFramePr>
            <a:graphic>
              <a:graphicData uri="http://schemas.openxmlformats.org/drawingml/2006/picture">
                <pic:pic>
                  <pic:nvPicPr>
                    <pic:cNvPr id="16" name="image1.png"/>
                    <pic:cNvPicPr/>
                  </pic:nvPicPr>
                  <pic:blipFill>
                    <a:blip r:embed="rId5" cstate="print"/>
                    <a:stretch>
                      <a:fillRect/>
                    </a:stretch>
                  </pic:blipFill>
                  <pic:spPr>
                    <a:xfrm>
                      <a:off x="0" y="0"/>
                      <a:ext cx="71843" cy="111455"/>
                    </a:xfrm>
                    <a:prstGeom prst="rect">
                      <a:avLst/>
                    </a:prstGeom>
                  </pic:spPr>
                </pic:pic>
              </a:graphicData>
            </a:graphic>
          </wp:inline>
        </w:drawing>
      </w:r>
      <w:r>
        <w:rPr>
          <w:position w:val="-3"/>
        </w:rPr>
      </w:r>
      <w:r>
        <w:rPr>
          <w:rFonts w:ascii="Times New Roman"/>
          <w:sz w:val="20"/>
        </w:rPr>
        <w:t>  </w:t>
      </w:r>
      <w:r>
        <w:rPr>
          <w:rFonts w:ascii="Times New Roman"/>
          <w:spacing w:val="20"/>
          <w:sz w:val="20"/>
        </w:rPr>
        <w:t> </w:t>
      </w:r>
      <w:r>
        <w:rPr/>
        <w:t>raise</w:t>
      </w:r>
      <w:r>
        <w:rPr>
          <w:spacing w:val="-16"/>
        </w:rPr>
        <w:t> </w:t>
      </w:r>
      <w:r>
        <w:rPr/>
        <w:t>awareness</w:t>
      </w:r>
      <w:r>
        <w:rPr>
          <w:spacing w:val="-15"/>
        </w:rPr>
        <w:t> </w:t>
      </w:r>
      <w:r>
        <w:rPr/>
        <w:t>amongst</w:t>
      </w:r>
      <w:r>
        <w:rPr>
          <w:spacing w:val="-16"/>
        </w:rPr>
        <w:t> </w:t>
      </w:r>
      <w:r>
        <w:rPr/>
        <w:t>Aboriginal</w:t>
      </w:r>
      <w:r>
        <w:rPr>
          <w:spacing w:val="-15"/>
        </w:rPr>
        <w:t> </w:t>
      </w:r>
      <w:r>
        <w:rPr/>
        <w:t>communities to</w:t>
      </w:r>
      <w:r>
        <w:rPr>
          <w:spacing w:val="-7"/>
        </w:rPr>
        <w:t> </w:t>
      </w:r>
      <w:r>
        <w:rPr/>
        <w:t>promote</w:t>
      </w:r>
      <w:r>
        <w:rPr>
          <w:spacing w:val="-7"/>
        </w:rPr>
        <w:t> </w:t>
      </w:r>
      <w:r>
        <w:rPr/>
        <w:t>the</w:t>
      </w:r>
      <w:r>
        <w:rPr>
          <w:spacing w:val="-6"/>
        </w:rPr>
        <w:t> </w:t>
      </w:r>
      <w:r>
        <w:rPr/>
        <w:t>safe</w:t>
      </w:r>
      <w:r>
        <w:rPr>
          <w:spacing w:val="-7"/>
        </w:rPr>
        <w:t> </w:t>
      </w:r>
      <w:r>
        <w:rPr/>
        <w:t>management</w:t>
      </w:r>
      <w:r>
        <w:rPr>
          <w:spacing w:val="-7"/>
        </w:rPr>
        <w:t> </w:t>
      </w:r>
      <w:r>
        <w:rPr/>
        <w:t>of</w:t>
      </w:r>
      <w:r>
        <w:rPr>
          <w:spacing w:val="-6"/>
        </w:rPr>
        <w:t> </w:t>
      </w:r>
      <w:r>
        <w:rPr/>
        <w:t>asbestos</w:t>
      </w:r>
    </w:p>
    <w:p>
      <w:pPr>
        <w:pStyle w:val="BodyText"/>
        <w:spacing w:line="283" w:lineRule="auto" w:before="131"/>
        <w:ind w:left="1267" w:hanging="284"/>
      </w:pPr>
      <w:r>
        <w:rPr>
          <w:position w:val="-3"/>
        </w:rPr>
        <w:drawing>
          <wp:inline distT="0" distB="0" distL="0" distR="0">
            <wp:extent cx="71843" cy="111455"/>
            <wp:effectExtent l="0" t="0" r="0" b="0"/>
            <wp:docPr id="17" name="image1.png" descr=""/>
            <wp:cNvGraphicFramePr>
              <a:graphicFrameLocks noChangeAspect="1"/>
            </wp:cNvGraphicFramePr>
            <a:graphic>
              <a:graphicData uri="http://schemas.openxmlformats.org/drawingml/2006/picture">
                <pic:pic>
                  <pic:nvPicPr>
                    <pic:cNvPr id="18" name="image1.png"/>
                    <pic:cNvPicPr/>
                  </pic:nvPicPr>
                  <pic:blipFill>
                    <a:blip r:embed="rId5" cstate="print"/>
                    <a:stretch>
                      <a:fillRect/>
                    </a:stretch>
                  </pic:blipFill>
                  <pic:spPr>
                    <a:xfrm>
                      <a:off x="0" y="0"/>
                      <a:ext cx="71843" cy="111455"/>
                    </a:xfrm>
                    <a:prstGeom prst="rect">
                      <a:avLst/>
                    </a:prstGeom>
                  </pic:spPr>
                </pic:pic>
              </a:graphicData>
            </a:graphic>
          </wp:inline>
        </w:drawing>
      </w:r>
      <w:r>
        <w:rPr>
          <w:position w:val="-3"/>
        </w:rPr>
      </w:r>
      <w:r>
        <w:rPr>
          <w:rFonts w:ascii="Times New Roman"/>
          <w:sz w:val="20"/>
        </w:rPr>
        <w:t>  </w:t>
      </w:r>
      <w:r>
        <w:rPr>
          <w:rFonts w:ascii="Times New Roman"/>
          <w:spacing w:val="20"/>
          <w:sz w:val="20"/>
        </w:rPr>
        <w:t> </w:t>
      </w:r>
      <w:r>
        <w:rPr/>
        <w:t>build</w:t>
      </w:r>
      <w:r>
        <w:rPr>
          <w:spacing w:val="-10"/>
        </w:rPr>
        <w:t> </w:t>
      </w:r>
      <w:r>
        <w:rPr/>
        <w:t>capacity</w:t>
      </w:r>
      <w:r>
        <w:rPr>
          <w:spacing w:val="-10"/>
        </w:rPr>
        <w:t> </w:t>
      </w:r>
      <w:r>
        <w:rPr/>
        <w:t>and</w:t>
      </w:r>
      <w:r>
        <w:rPr>
          <w:spacing w:val="-10"/>
        </w:rPr>
        <w:t> </w:t>
      </w:r>
      <w:r>
        <w:rPr/>
        <w:t>capabilities</w:t>
      </w:r>
      <w:r>
        <w:rPr>
          <w:spacing w:val="-10"/>
        </w:rPr>
        <w:t> </w:t>
      </w:r>
      <w:r>
        <w:rPr/>
        <w:t>to</w:t>
      </w:r>
      <w:r>
        <w:rPr>
          <w:spacing w:val="-10"/>
        </w:rPr>
        <w:t> </w:t>
      </w:r>
      <w:r>
        <w:rPr/>
        <w:t>deal</w:t>
      </w:r>
      <w:r>
        <w:rPr>
          <w:spacing w:val="-10"/>
        </w:rPr>
        <w:t> </w:t>
      </w:r>
      <w:r>
        <w:rPr/>
        <w:t>with</w:t>
      </w:r>
      <w:r>
        <w:rPr>
          <w:spacing w:val="-9"/>
        </w:rPr>
        <w:t> </w:t>
      </w:r>
      <w:r>
        <w:rPr/>
        <w:t>asbestos within Aboriginal</w:t>
      </w:r>
      <w:r>
        <w:rPr>
          <w:spacing w:val="-6"/>
        </w:rPr>
        <w:t> </w:t>
      </w:r>
      <w:r>
        <w:rPr/>
        <w:t>communities.</w:t>
      </w:r>
    </w:p>
    <w:p>
      <w:pPr>
        <w:pStyle w:val="BodyText"/>
        <w:spacing w:line="283" w:lineRule="auto" w:before="132"/>
        <w:ind w:left="1267" w:right="256" w:hanging="284"/>
      </w:pPr>
      <w:r>
        <w:rPr>
          <w:position w:val="-3"/>
        </w:rPr>
        <w:drawing>
          <wp:inline distT="0" distB="0" distL="0" distR="0">
            <wp:extent cx="71843" cy="111455"/>
            <wp:effectExtent l="0" t="0" r="0" b="0"/>
            <wp:docPr id="19" name="image2.png" descr=""/>
            <wp:cNvGraphicFramePr>
              <a:graphicFrameLocks noChangeAspect="1"/>
            </wp:cNvGraphicFramePr>
            <a:graphic>
              <a:graphicData uri="http://schemas.openxmlformats.org/drawingml/2006/picture">
                <pic:pic>
                  <pic:nvPicPr>
                    <pic:cNvPr id="20" name="image2.png"/>
                    <pic:cNvPicPr/>
                  </pic:nvPicPr>
                  <pic:blipFill>
                    <a:blip r:embed="rId6" cstate="print"/>
                    <a:stretch>
                      <a:fillRect/>
                    </a:stretch>
                  </pic:blipFill>
                  <pic:spPr>
                    <a:xfrm>
                      <a:off x="0" y="0"/>
                      <a:ext cx="71843" cy="111455"/>
                    </a:xfrm>
                    <a:prstGeom prst="rect">
                      <a:avLst/>
                    </a:prstGeom>
                  </pic:spPr>
                </pic:pic>
              </a:graphicData>
            </a:graphic>
          </wp:inline>
        </w:drawing>
      </w:r>
      <w:r>
        <w:rPr>
          <w:position w:val="-3"/>
        </w:rPr>
      </w:r>
      <w:r>
        <w:rPr>
          <w:rFonts w:ascii="Times New Roman"/>
          <w:sz w:val="20"/>
        </w:rPr>
        <w:t>  </w:t>
      </w:r>
      <w:r>
        <w:rPr>
          <w:rFonts w:ascii="Times New Roman"/>
          <w:spacing w:val="20"/>
          <w:sz w:val="20"/>
        </w:rPr>
        <w:t> </w:t>
      </w:r>
      <w:r>
        <w:rPr/>
        <w:t>equip Aboriginal communities to adequately remediate</w:t>
      </w:r>
      <w:r>
        <w:rPr>
          <w:spacing w:val="-23"/>
        </w:rPr>
        <w:t> </w:t>
      </w:r>
      <w:r>
        <w:rPr/>
        <w:t>asbestos</w:t>
      </w:r>
      <w:r>
        <w:rPr>
          <w:spacing w:val="-22"/>
        </w:rPr>
        <w:t> </w:t>
      </w:r>
      <w:r>
        <w:rPr/>
        <w:t>issues</w:t>
      </w:r>
      <w:r>
        <w:rPr>
          <w:spacing w:val="-22"/>
        </w:rPr>
        <w:t> </w:t>
      </w:r>
      <w:r>
        <w:rPr/>
        <w:t>locally</w:t>
      </w:r>
      <w:r>
        <w:rPr>
          <w:spacing w:val="-22"/>
        </w:rPr>
        <w:t> </w:t>
      </w:r>
      <w:r>
        <w:rPr/>
        <w:t>where</w:t>
      </w:r>
      <w:r>
        <w:rPr>
          <w:spacing w:val="-22"/>
        </w:rPr>
        <w:t> </w:t>
      </w:r>
      <w:r>
        <w:rPr/>
        <w:t>possible.</w:t>
      </w:r>
    </w:p>
    <w:p>
      <w:pPr>
        <w:pStyle w:val="Heading1"/>
        <w:spacing w:before="97"/>
      </w:pPr>
      <w:r>
        <w:rPr/>
        <w:br w:type="column"/>
      </w:r>
      <w:r>
        <w:rPr>
          <w:w w:val="90"/>
        </w:rPr>
        <w:t>Action taken</w:t>
      </w:r>
    </w:p>
    <w:p>
      <w:pPr>
        <w:pStyle w:val="BodyText"/>
        <w:spacing w:before="160"/>
        <w:ind w:left="1700"/>
      </w:pPr>
      <w:r>
        <w:rPr/>
        <w:t>Research</w:t>
      </w:r>
    </w:p>
    <w:p>
      <w:pPr>
        <w:pStyle w:val="BodyText"/>
        <w:spacing w:line="283" w:lineRule="auto" w:before="170"/>
        <w:ind w:left="1700" w:right="20"/>
      </w:pPr>
      <w:r>
        <w:rPr/>
        <w:t>The project team consulted with Aboriginal Local Land Councils and Aboriginal Housing providers to identify key asbestos issues.</w:t>
      </w:r>
    </w:p>
    <w:p>
      <w:pPr>
        <w:pStyle w:val="BodyText"/>
        <w:spacing w:line="283" w:lineRule="auto" w:before="132"/>
        <w:ind w:left="1700" w:right="-2"/>
      </w:pPr>
      <w:r>
        <w:rPr/>
        <w:t>Research</w:t>
      </w:r>
      <w:r>
        <w:rPr>
          <w:spacing w:val="-19"/>
        </w:rPr>
        <w:t> </w:t>
      </w:r>
      <w:r>
        <w:rPr/>
        <w:t>case</w:t>
      </w:r>
      <w:r>
        <w:rPr>
          <w:spacing w:val="-18"/>
        </w:rPr>
        <w:t> </w:t>
      </w:r>
      <w:r>
        <w:rPr/>
        <w:t>studies</w:t>
      </w:r>
      <w:r>
        <w:rPr>
          <w:spacing w:val="-19"/>
        </w:rPr>
        <w:t> </w:t>
      </w:r>
      <w:r>
        <w:rPr/>
        <w:t>were</w:t>
      </w:r>
      <w:r>
        <w:rPr>
          <w:spacing w:val="-18"/>
        </w:rPr>
        <w:t> </w:t>
      </w:r>
      <w:r>
        <w:rPr/>
        <w:t>also</w:t>
      </w:r>
      <w:r>
        <w:rPr>
          <w:spacing w:val="-18"/>
        </w:rPr>
        <w:t> </w:t>
      </w:r>
      <w:r>
        <w:rPr/>
        <w:t>undertaken</w:t>
      </w:r>
      <w:r>
        <w:rPr>
          <w:spacing w:val="-19"/>
        </w:rPr>
        <w:t> </w:t>
      </w:r>
      <w:r>
        <w:rPr/>
        <w:t>at</w:t>
      </w:r>
      <w:r>
        <w:rPr>
          <w:spacing w:val="-18"/>
        </w:rPr>
        <w:t> </w:t>
      </w:r>
      <w:r>
        <w:rPr/>
        <w:t>La</w:t>
      </w:r>
      <w:r>
        <w:rPr>
          <w:spacing w:val="-19"/>
        </w:rPr>
        <w:t> </w:t>
      </w:r>
      <w:r>
        <w:rPr/>
        <w:t>Perouse (metropolitan</w:t>
      </w:r>
      <w:r>
        <w:rPr>
          <w:spacing w:val="-21"/>
        </w:rPr>
        <w:t> </w:t>
      </w:r>
      <w:r>
        <w:rPr/>
        <w:t>Sydney),</w:t>
      </w:r>
      <w:r>
        <w:rPr>
          <w:spacing w:val="-20"/>
        </w:rPr>
        <w:t> </w:t>
      </w:r>
      <w:r>
        <w:rPr/>
        <w:t>Murrin</w:t>
      </w:r>
      <w:r>
        <w:rPr>
          <w:spacing w:val="-20"/>
        </w:rPr>
        <w:t> </w:t>
      </w:r>
      <w:r>
        <w:rPr/>
        <w:t>Bridge</w:t>
      </w:r>
      <w:r>
        <w:rPr>
          <w:spacing w:val="-20"/>
        </w:rPr>
        <w:t> </w:t>
      </w:r>
      <w:r>
        <w:rPr/>
        <w:t>(320km</w:t>
      </w:r>
      <w:r>
        <w:rPr>
          <w:spacing w:val="-21"/>
        </w:rPr>
        <w:t> </w:t>
      </w:r>
      <w:r>
        <w:rPr/>
        <w:t>southwest of Dubbo) and Lake Cargelligo </w:t>
      </w:r>
      <w:r>
        <w:rPr>
          <w:spacing w:val="-3"/>
        </w:rPr>
        <w:t>(140km </w:t>
      </w:r>
      <w:r>
        <w:rPr/>
        <w:t>south of Griffith, NSW) to gain a better understanding of asbestos issues particularly in historic Aboriginal</w:t>
      </w:r>
      <w:r>
        <w:rPr>
          <w:spacing w:val="-23"/>
        </w:rPr>
        <w:t> </w:t>
      </w:r>
      <w:r>
        <w:rPr/>
        <w:t>communities.</w:t>
      </w:r>
    </w:p>
    <w:p>
      <w:pPr>
        <w:pStyle w:val="BodyText"/>
        <w:spacing w:before="133"/>
        <w:ind w:left="1700"/>
      </w:pPr>
      <w:r>
        <w:rPr>
          <w:w w:val="105"/>
        </w:rPr>
        <w:t>Stakeholder engagement</w:t>
      </w:r>
    </w:p>
    <w:p>
      <w:pPr>
        <w:pStyle w:val="BodyText"/>
        <w:spacing w:line="283" w:lineRule="auto" w:before="171"/>
        <w:ind w:left="1700" w:right="20"/>
      </w:pPr>
      <w:r>
        <w:rPr/>
        <w:t>Stakeholder</w:t>
      </w:r>
      <w:r>
        <w:rPr>
          <w:spacing w:val="-10"/>
        </w:rPr>
        <w:t> </w:t>
      </w:r>
      <w:r>
        <w:rPr/>
        <w:t>engagement</w:t>
      </w:r>
      <w:r>
        <w:rPr>
          <w:spacing w:val="-10"/>
        </w:rPr>
        <w:t> </w:t>
      </w:r>
      <w:r>
        <w:rPr/>
        <w:t>was</w:t>
      </w:r>
      <w:r>
        <w:rPr>
          <w:spacing w:val="-9"/>
        </w:rPr>
        <w:t> </w:t>
      </w:r>
      <w:r>
        <w:rPr/>
        <w:t>carried</w:t>
      </w:r>
      <w:r>
        <w:rPr>
          <w:spacing w:val="-10"/>
        </w:rPr>
        <w:t> </w:t>
      </w:r>
      <w:r>
        <w:rPr/>
        <w:t>out</w:t>
      </w:r>
      <w:r>
        <w:rPr>
          <w:spacing w:val="-10"/>
        </w:rPr>
        <w:t> </w:t>
      </w:r>
      <w:r>
        <w:rPr/>
        <w:t>by</w:t>
      </w:r>
      <w:r>
        <w:rPr>
          <w:spacing w:val="-9"/>
        </w:rPr>
        <w:t> </w:t>
      </w:r>
      <w:r>
        <w:rPr/>
        <w:t>way</w:t>
      </w:r>
      <w:r>
        <w:rPr>
          <w:spacing w:val="-10"/>
        </w:rPr>
        <w:t> </w:t>
      </w:r>
      <w:r>
        <w:rPr/>
        <w:t>of</w:t>
      </w:r>
      <w:r>
        <w:rPr>
          <w:spacing w:val="-9"/>
        </w:rPr>
        <w:t> </w:t>
      </w:r>
      <w:r>
        <w:rPr/>
        <w:t>face- to-face meetings, forums, by telephone and by email with Aboriginal Local Land Councils and Zone Directors, with the aim of knowledge sharing and collective learning about the asbestos issues facing Aboriginal communities.</w:t>
      </w:r>
    </w:p>
    <w:p>
      <w:pPr>
        <w:pStyle w:val="BodyText"/>
        <w:spacing w:line="283" w:lineRule="auto" w:before="134"/>
        <w:ind w:left="1700" w:right="-1"/>
      </w:pPr>
      <w:r>
        <w:rPr/>
        <w:t>The engagement with Zone Directors of Aboriginal Local Land Councils helped to identify the level of knowledge within Aboriginal communities, and to identify known behaviours, which may cause risk or harm to health and safety.</w:t>
      </w:r>
    </w:p>
    <w:p>
      <w:pPr>
        <w:pStyle w:val="BodyText"/>
        <w:spacing w:line="283" w:lineRule="auto" w:before="133"/>
        <w:ind w:left="1700"/>
      </w:pPr>
      <w:r>
        <w:rPr/>
        <w:t>The </w:t>
      </w:r>
      <w:r>
        <w:rPr>
          <w:spacing w:val="-3"/>
        </w:rPr>
        <w:t>project </w:t>
      </w:r>
      <w:r>
        <w:rPr>
          <w:spacing w:val="-5"/>
        </w:rPr>
        <w:t>team </w:t>
      </w:r>
      <w:r>
        <w:rPr>
          <w:spacing w:val="-3"/>
        </w:rPr>
        <w:t>worked directly with the </w:t>
      </w:r>
      <w:r>
        <w:rPr>
          <w:spacing w:val="-4"/>
        </w:rPr>
        <w:t>Aboriginal Local </w:t>
      </w:r>
      <w:r>
        <w:rPr/>
        <w:t>Land Councils and other key stakeholders to ensure the </w:t>
      </w:r>
      <w:r>
        <w:rPr>
          <w:spacing w:val="-4"/>
        </w:rPr>
        <w:t>development </w:t>
      </w:r>
      <w:r>
        <w:rPr/>
        <w:t>of</w:t>
      </w:r>
      <w:r>
        <w:rPr>
          <w:spacing w:val="-29"/>
        </w:rPr>
        <w:t> </w:t>
      </w:r>
      <w:r>
        <w:rPr>
          <w:spacing w:val="-3"/>
        </w:rPr>
        <w:t>the </w:t>
      </w:r>
      <w:r>
        <w:rPr>
          <w:spacing w:val="-5"/>
        </w:rPr>
        <w:t>communication </w:t>
      </w:r>
      <w:r>
        <w:rPr>
          <w:spacing w:val="-4"/>
        </w:rPr>
        <w:t>strategy </w:t>
      </w:r>
      <w:r>
        <w:rPr>
          <w:spacing w:val="-3"/>
        </w:rPr>
        <w:t>and </w:t>
      </w:r>
      <w:r>
        <w:rPr>
          <w:spacing w:val="-4"/>
        </w:rPr>
        <w:t>campaign </w:t>
      </w:r>
      <w:r>
        <w:rPr/>
        <w:t>messaging</w:t>
      </w:r>
      <w:r>
        <w:rPr>
          <w:spacing w:val="-8"/>
        </w:rPr>
        <w:t> </w:t>
      </w:r>
      <w:r>
        <w:rPr/>
        <w:t>was</w:t>
      </w:r>
      <w:r>
        <w:rPr>
          <w:spacing w:val="-8"/>
        </w:rPr>
        <w:t> </w:t>
      </w:r>
      <w:r>
        <w:rPr/>
        <w:t>accurate</w:t>
      </w:r>
      <w:r>
        <w:rPr>
          <w:spacing w:val="-8"/>
        </w:rPr>
        <w:t> </w:t>
      </w:r>
      <w:r>
        <w:rPr/>
        <w:t>and</w:t>
      </w:r>
      <w:r>
        <w:rPr>
          <w:spacing w:val="-7"/>
        </w:rPr>
        <w:t> </w:t>
      </w:r>
      <w:r>
        <w:rPr/>
        <w:t>culturally</w:t>
      </w:r>
      <w:r>
        <w:rPr>
          <w:spacing w:val="-8"/>
        </w:rPr>
        <w:t> </w:t>
      </w:r>
      <w:r>
        <w:rPr/>
        <w:t>appropriate.</w:t>
      </w:r>
    </w:p>
    <w:p>
      <w:pPr>
        <w:pStyle w:val="BodyText"/>
        <w:spacing w:before="133"/>
        <w:ind w:left="1700"/>
      </w:pPr>
      <w:r>
        <w:rPr>
          <w:w w:val="105"/>
        </w:rPr>
        <w:t>Communication strategy</w:t>
      </w:r>
    </w:p>
    <w:p>
      <w:pPr>
        <w:pStyle w:val="BodyText"/>
        <w:spacing w:line="283" w:lineRule="auto" w:before="170"/>
        <w:ind w:left="1700"/>
      </w:pPr>
      <w:r>
        <w:rPr/>
        <w:t>Research findings helped to direct the development of the</w:t>
      </w:r>
      <w:r>
        <w:rPr>
          <w:spacing w:val="-9"/>
        </w:rPr>
        <w:t> </w:t>
      </w:r>
      <w:r>
        <w:rPr/>
        <w:t>communication</w:t>
      </w:r>
      <w:r>
        <w:rPr>
          <w:spacing w:val="-9"/>
        </w:rPr>
        <w:t> </w:t>
      </w:r>
      <w:r>
        <w:rPr/>
        <w:t>strategy,</w:t>
      </w:r>
      <w:r>
        <w:rPr>
          <w:spacing w:val="-8"/>
        </w:rPr>
        <w:t> </w:t>
      </w:r>
      <w:r>
        <w:rPr/>
        <w:t>which</w:t>
      </w:r>
      <w:r>
        <w:rPr>
          <w:spacing w:val="-9"/>
        </w:rPr>
        <w:t> </w:t>
      </w:r>
      <w:r>
        <w:rPr/>
        <w:t>was</w:t>
      </w:r>
      <w:r>
        <w:rPr>
          <w:spacing w:val="-9"/>
        </w:rPr>
        <w:t> </w:t>
      </w:r>
      <w:r>
        <w:rPr/>
        <w:t>launched</w:t>
      </w:r>
      <w:r>
        <w:rPr>
          <w:spacing w:val="-8"/>
        </w:rPr>
        <w:t> </w:t>
      </w:r>
      <w:r>
        <w:rPr/>
        <w:t>during Asbestos Awareness Month in November</w:t>
      </w:r>
      <w:r>
        <w:rPr>
          <w:spacing w:val="-29"/>
        </w:rPr>
        <w:t> </w:t>
      </w:r>
      <w:r>
        <w:rPr>
          <w:spacing w:val="-4"/>
        </w:rPr>
        <w:t>2016.</w:t>
      </w:r>
    </w:p>
    <w:p>
      <w:pPr>
        <w:pStyle w:val="BodyText"/>
        <w:spacing w:line="283" w:lineRule="auto" w:before="132"/>
        <w:ind w:left="1700"/>
      </w:pPr>
      <w:r>
        <w:rPr/>
        <w:t>The communication strategy targeted the key issues through culturally appropriate messaging and methods of communication.</w:t>
      </w:r>
    </w:p>
    <w:p>
      <w:pPr>
        <w:pStyle w:val="BodyText"/>
        <w:spacing w:line="283" w:lineRule="auto" w:before="132"/>
        <w:ind w:left="1700" w:right="33"/>
      </w:pPr>
      <w:r>
        <w:rPr/>
        <w:t>A suite of guidance material and campaign collateral including flyers, posters and asbestos safety checklists were produced to provide support and guidance for all members of the Aboriginal community, according to their</w:t>
      </w:r>
      <w:r>
        <w:rPr>
          <w:spacing w:val="-21"/>
        </w:rPr>
        <w:t> </w:t>
      </w:r>
      <w:r>
        <w:rPr/>
        <w:t>roles</w:t>
      </w:r>
      <w:r>
        <w:rPr>
          <w:spacing w:val="-21"/>
        </w:rPr>
        <w:t> </w:t>
      </w:r>
      <w:r>
        <w:rPr/>
        <w:t>and</w:t>
      </w:r>
      <w:r>
        <w:rPr>
          <w:spacing w:val="-21"/>
        </w:rPr>
        <w:t> </w:t>
      </w:r>
      <w:r>
        <w:rPr/>
        <w:t>responsibilities</w:t>
      </w:r>
      <w:r>
        <w:rPr>
          <w:spacing w:val="-21"/>
        </w:rPr>
        <w:t> </w:t>
      </w:r>
      <w:r>
        <w:rPr/>
        <w:t>for</w:t>
      </w:r>
      <w:r>
        <w:rPr>
          <w:spacing w:val="-21"/>
        </w:rPr>
        <w:t> </w:t>
      </w:r>
      <w:r>
        <w:rPr/>
        <w:t>asbestos</w:t>
      </w:r>
      <w:r>
        <w:rPr>
          <w:spacing w:val="-21"/>
        </w:rPr>
        <w:t> </w:t>
      </w:r>
      <w:r>
        <w:rPr/>
        <w:t>management.</w:t>
      </w:r>
    </w:p>
    <w:p>
      <w:pPr>
        <w:pStyle w:val="BodyText"/>
        <w:spacing w:line="283" w:lineRule="auto" w:before="134"/>
        <w:ind w:left="1700"/>
      </w:pPr>
      <w:r>
        <w:rPr>
          <w:w w:val="105"/>
        </w:rPr>
        <w:t>Building capacity and capabilities in Aboriginal communities</w:t>
      </w:r>
    </w:p>
    <w:p>
      <w:pPr>
        <w:pStyle w:val="BodyText"/>
        <w:spacing w:line="283" w:lineRule="auto" w:before="131"/>
        <w:ind w:left="1700" w:right="431"/>
      </w:pPr>
      <w:r>
        <w:rPr/>
        <w:t>A pilot program to build capacity and capabilities in Aboriginal communities was rolled out through</w:t>
      </w:r>
    </w:p>
    <w:p>
      <w:pPr>
        <w:pStyle w:val="BodyText"/>
        <w:spacing w:line="283" w:lineRule="auto" w:before="99"/>
        <w:ind w:left="319" w:right="692"/>
      </w:pPr>
      <w:r>
        <w:rPr/>
        <w:br w:type="column"/>
      </w:r>
      <w:r>
        <w:rPr/>
        <w:t>training of Local Aboriginal Land Council workers, Aboriginal Green Teams and Aboriginal staff from local government and organisations.</w:t>
      </w:r>
    </w:p>
    <w:p>
      <w:pPr>
        <w:pStyle w:val="BodyText"/>
        <w:spacing w:line="283" w:lineRule="auto" w:before="132"/>
        <w:ind w:left="319" w:right="821"/>
      </w:pPr>
      <w:r>
        <w:rPr/>
        <w:t>The aim was to provide non-friable asbestos removal and Asbestos Supervisor training to Aboriginal participants to help them find asbestos-related work experience or employment.</w:t>
      </w:r>
    </w:p>
    <w:p>
      <w:pPr>
        <w:pStyle w:val="BodyText"/>
        <w:spacing w:line="283" w:lineRule="auto" w:before="133"/>
        <w:ind w:left="319" w:right="883"/>
      </w:pPr>
      <w:r>
        <w:rPr/>
        <w:t>SafeWork</w:t>
      </w:r>
      <w:r>
        <w:rPr>
          <w:spacing w:val="-16"/>
        </w:rPr>
        <w:t> </w:t>
      </w:r>
      <w:r>
        <w:rPr/>
        <w:t>NSW</w:t>
      </w:r>
      <w:r>
        <w:rPr>
          <w:spacing w:val="-15"/>
        </w:rPr>
        <w:t> </w:t>
      </w:r>
      <w:r>
        <w:rPr/>
        <w:t>engaged</w:t>
      </w:r>
      <w:r>
        <w:rPr>
          <w:spacing w:val="-15"/>
        </w:rPr>
        <w:t> </w:t>
      </w:r>
      <w:r>
        <w:rPr/>
        <w:t>a</w:t>
      </w:r>
      <w:r>
        <w:rPr>
          <w:spacing w:val="-15"/>
        </w:rPr>
        <w:t> </w:t>
      </w:r>
      <w:r>
        <w:rPr/>
        <w:t>training</w:t>
      </w:r>
      <w:r>
        <w:rPr>
          <w:spacing w:val="-16"/>
        </w:rPr>
        <w:t> </w:t>
      </w:r>
      <w:r>
        <w:rPr/>
        <w:t>provider</w:t>
      </w:r>
      <w:r>
        <w:rPr>
          <w:spacing w:val="-15"/>
        </w:rPr>
        <w:t> </w:t>
      </w:r>
      <w:r>
        <w:rPr/>
        <w:t>to</w:t>
      </w:r>
      <w:r>
        <w:rPr>
          <w:spacing w:val="-15"/>
        </w:rPr>
        <w:t> </w:t>
      </w:r>
      <w:r>
        <w:rPr/>
        <w:t>deliver a program of courses</w:t>
      </w:r>
      <w:r>
        <w:rPr>
          <w:spacing w:val="-12"/>
        </w:rPr>
        <w:t> </w:t>
      </w:r>
      <w:r>
        <w:rPr/>
        <w:t>including:</w:t>
      </w:r>
    </w:p>
    <w:p>
      <w:pPr>
        <w:pStyle w:val="BodyText"/>
        <w:spacing w:line="424" w:lineRule="auto" w:before="133"/>
        <w:ind w:left="319" w:right="1677"/>
      </w:pPr>
      <w:r>
        <w:rPr>
          <w:position w:val="-3"/>
        </w:rPr>
        <w:drawing>
          <wp:inline distT="0" distB="0" distL="0" distR="0">
            <wp:extent cx="71843" cy="111455"/>
            <wp:effectExtent l="0" t="0" r="0" b="0"/>
            <wp:docPr id="21" name="image1.png" descr=""/>
            <wp:cNvGraphicFramePr>
              <a:graphicFrameLocks noChangeAspect="1"/>
            </wp:cNvGraphicFramePr>
            <a:graphic>
              <a:graphicData uri="http://schemas.openxmlformats.org/drawingml/2006/picture">
                <pic:pic>
                  <pic:nvPicPr>
                    <pic:cNvPr id="22" name="image1.png"/>
                    <pic:cNvPicPr/>
                  </pic:nvPicPr>
                  <pic:blipFill>
                    <a:blip r:embed="rId5" cstate="print"/>
                    <a:stretch>
                      <a:fillRect/>
                    </a:stretch>
                  </pic:blipFill>
                  <pic:spPr>
                    <a:xfrm>
                      <a:off x="0" y="0"/>
                      <a:ext cx="71843" cy="111455"/>
                    </a:xfrm>
                    <a:prstGeom prst="rect">
                      <a:avLst/>
                    </a:prstGeom>
                  </pic:spPr>
                </pic:pic>
              </a:graphicData>
            </a:graphic>
          </wp:inline>
        </w:drawing>
      </w:r>
      <w:r>
        <w:rPr>
          <w:position w:val="-3"/>
        </w:rPr>
      </w:r>
      <w:r>
        <w:rPr>
          <w:rFonts w:ascii="Times New Roman"/>
          <w:sz w:val="20"/>
        </w:rPr>
        <w:t>  </w:t>
      </w:r>
      <w:r>
        <w:rPr>
          <w:rFonts w:ascii="Times New Roman"/>
          <w:spacing w:val="20"/>
          <w:sz w:val="20"/>
        </w:rPr>
        <w:t> </w:t>
      </w:r>
      <w:r>
        <w:rPr/>
        <w:t>non-friable</w:t>
      </w:r>
      <w:r>
        <w:rPr>
          <w:spacing w:val="-25"/>
        </w:rPr>
        <w:t> </w:t>
      </w:r>
      <w:r>
        <w:rPr/>
        <w:t>asbestos</w:t>
      </w:r>
      <w:r>
        <w:rPr>
          <w:spacing w:val="-24"/>
        </w:rPr>
        <w:t> </w:t>
      </w:r>
      <w:r>
        <w:rPr/>
        <w:t>removal</w:t>
      </w:r>
      <w:r>
        <w:rPr>
          <w:spacing w:val="-24"/>
        </w:rPr>
        <w:t> </w:t>
      </w:r>
      <w:r>
        <w:rPr/>
        <w:t>training</w:t>
      </w:r>
      <w:r>
        <w:rPr>
          <w:w w:val="115"/>
        </w:rPr>
        <w:t> </w:t>
      </w:r>
      <w:r>
        <w:rPr>
          <w:w w:val="115"/>
          <w:position w:val="-3"/>
        </w:rPr>
        <w:drawing>
          <wp:inline distT="0" distB="0" distL="0" distR="0">
            <wp:extent cx="71843" cy="111455"/>
            <wp:effectExtent l="0" t="0" r="0" b="0"/>
            <wp:docPr id="23" name="image1.png" descr=""/>
            <wp:cNvGraphicFramePr>
              <a:graphicFrameLocks noChangeAspect="1"/>
            </wp:cNvGraphicFramePr>
            <a:graphic>
              <a:graphicData uri="http://schemas.openxmlformats.org/drawingml/2006/picture">
                <pic:pic>
                  <pic:nvPicPr>
                    <pic:cNvPr id="24" name="image1.png"/>
                    <pic:cNvPicPr/>
                  </pic:nvPicPr>
                  <pic:blipFill>
                    <a:blip r:embed="rId5" cstate="print"/>
                    <a:stretch>
                      <a:fillRect/>
                    </a:stretch>
                  </pic:blipFill>
                  <pic:spPr>
                    <a:xfrm>
                      <a:off x="0" y="0"/>
                      <a:ext cx="71843" cy="111455"/>
                    </a:xfrm>
                    <a:prstGeom prst="rect">
                      <a:avLst/>
                    </a:prstGeom>
                  </pic:spPr>
                </pic:pic>
              </a:graphicData>
            </a:graphic>
          </wp:inline>
        </w:drawing>
      </w:r>
      <w:r>
        <w:rPr>
          <w:w w:val="115"/>
          <w:position w:val="-3"/>
        </w:rPr>
      </w:r>
      <w:r>
        <w:rPr>
          <w:rFonts w:ascii="Times New Roman"/>
          <w:w w:val="115"/>
        </w:rPr>
        <w:t>  </w:t>
      </w:r>
      <w:r>
        <w:rPr>
          <w:rFonts w:ascii="Times New Roman"/>
          <w:spacing w:val="14"/>
          <w:w w:val="115"/>
        </w:rPr>
        <w:t> </w:t>
      </w:r>
      <w:r>
        <w:rPr/>
        <w:t>asbestos supervisor</w:t>
      </w:r>
      <w:r>
        <w:rPr>
          <w:spacing w:val="-10"/>
        </w:rPr>
        <w:t> </w:t>
      </w:r>
      <w:r>
        <w:rPr/>
        <w:t>training</w:t>
      </w:r>
    </w:p>
    <w:p>
      <w:pPr>
        <w:pStyle w:val="BodyText"/>
        <w:spacing w:before="2"/>
        <w:ind w:left="319"/>
      </w:pPr>
      <w:r>
        <w:rPr>
          <w:position w:val="-3"/>
        </w:rPr>
        <w:drawing>
          <wp:inline distT="0" distB="0" distL="0" distR="0">
            <wp:extent cx="71843" cy="111455"/>
            <wp:effectExtent l="0" t="0" r="0" b="0"/>
            <wp:docPr id="25" name="image1.png" descr=""/>
            <wp:cNvGraphicFramePr>
              <a:graphicFrameLocks noChangeAspect="1"/>
            </wp:cNvGraphicFramePr>
            <a:graphic>
              <a:graphicData uri="http://schemas.openxmlformats.org/drawingml/2006/picture">
                <pic:pic>
                  <pic:nvPicPr>
                    <pic:cNvPr id="26" name="image1.png"/>
                    <pic:cNvPicPr/>
                  </pic:nvPicPr>
                  <pic:blipFill>
                    <a:blip r:embed="rId5" cstate="print"/>
                    <a:stretch>
                      <a:fillRect/>
                    </a:stretch>
                  </pic:blipFill>
                  <pic:spPr>
                    <a:xfrm>
                      <a:off x="0" y="0"/>
                      <a:ext cx="71843" cy="111455"/>
                    </a:xfrm>
                    <a:prstGeom prst="rect">
                      <a:avLst/>
                    </a:prstGeom>
                  </pic:spPr>
                </pic:pic>
              </a:graphicData>
            </a:graphic>
          </wp:inline>
        </w:drawing>
      </w:r>
      <w:r>
        <w:rPr>
          <w:position w:val="-3"/>
        </w:rPr>
      </w:r>
      <w:r>
        <w:rPr>
          <w:rFonts w:ascii="Times New Roman"/>
          <w:sz w:val="20"/>
        </w:rPr>
        <w:t>  </w:t>
      </w:r>
      <w:r>
        <w:rPr>
          <w:rFonts w:ascii="Times New Roman"/>
          <w:spacing w:val="20"/>
          <w:sz w:val="20"/>
        </w:rPr>
        <w:t> </w:t>
      </w:r>
      <w:r>
        <w:rPr/>
        <w:t>general construction induction</w:t>
      </w:r>
      <w:r>
        <w:rPr>
          <w:spacing w:val="-9"/>
        </w:rPr>
        <w:t> </w:t>
      </w:r>
      <w:r>
        <w:rPr/>
        <w:t>training.</w:t>
      </w:r>
    </w:p>
    <w:p>
      <w:pPr>
        <w:pStyle w:val="BodyText"/>
        <w:spacing w:line="283" w:lineRule="auto" w:before="171"/>
        <w:ind w:left="319" w:right="883"/>
      </w:pPr>
      <w:r>
        <w:rPr/>
        <w:t>Working with Aboriginal Local Land Councils, suitable Aboriginal participants were sought who had experience working within their community, for</w:t>
      </w:r>
    </w:p>
    <w:p>
      <w:pPr>
        <w:pStyle w:val="BodyText"/>
        <w:spacing w:line="283" w:lineRule="auto" w:before="2"/>
        <w:ind w:left="319" w:right="692"/>
      </w:pPr>
      <w:r>
        <w:rPr/>
        <w:t>example,</w:t>
      </w:r>
      <w:r>
        <w:rPr>
          <w:spacing w:val="-20"/>
        </w:rPr>
        <w:t> </w:t>
      </w:r>
      <w:r>
        <w:rPr/>
        <w:t>from</w:t>
      </w:r>
      <w:r>
        <w:rPr>
          <w:spacing w:val="-19"/>
        </w:rPr>
        <w:t> </w:t>
      </w:r>
      <w:r>
        <w:rPr/>
        <w:t>Green</w:t>
      </w:r>
      <w:r>
        <w:rPr>
          <w:spacing w:val="-19"/>
        </w:rPr>
        <w:t> </w:t>
      </w:r>
      <w:r>
        <w:rPr>
          <w:spacing w:val="-3"/>
        </w:rPr>
        <w:t>Teams</w:t>
      </w:r>
      <w:r>
        <w:rPr>
          <w:spacing w:val="-19"/>
        </w:rPr>
        <w:t> </w:t>
      </w:r>
      <w:r>
        <w:rPr/>
        <w:t>skilled</w:t>
      </w:r>
      <w:r>
        <w:rPr>
          <w:spacing w:val="-19"/>
        </w:rPr>
        <w:t> </w:t>
      </w:r>
      <w:r>
        <w:rPr/>
        <w:t>in</w:t>
      </w:r>
      <w:r>
        <w:rPr>
          <w:spacing w:val="-19"/>
        </w:rPr>
        <w:t> </w:t>
      </w:r>
      <w:r>
        <w:rPr/>
        <w:t>natural</w:t>
      </w:r>
      <w:r>
        <w:rPr>
          <w:spacing w:val="-19"/>
        </w:rPr>
        <w:t> </w:t>
      </w:r>
      <w:r>
        <w:rPr/>
        <w:t>resource management and building maintenance workers or those who had previously completed other relevant courses,</w:t>
      </w:r>
      <w:r>
        <w:rPr>
          <w:spacing w:val="-7"/>
        </w:rPr>
        <w:t> </w:t>
      </w:r>
      <w:r>
        <w:rPr/>
        <w:t>such</w:t>
      </w:r>
      <w:r>
        <w:rPr>
          <w:spacing w:val="-6"/>
        </w:rPr>
        <w:t> </w:t>
      </w:r>
      <w:r>
        <w:rPr/>
        <w:t>as</w:t>
      </w:r>
      <w:r>
        <w:rPr>
          <w:spacing w:val="-6"/>
        </w:rPr>
        <w:t> </w:t>
      </w:r>
      <w:r>
        <w:rPr/>
        <w:t>Certificate</w:t>
      </w:r>
      <w:r>
        <w:rPr>
          <w:spacing w:val="-6"/>
        </w:rPr>
        <w:t> </w:t>
      </w:r>
      <w:r>
        <w:rPr/>
        <w:t>I</w:t>
      </w:r>
      <w:r>
        <w:rPr>
          <w:spacing w:val="-6"/>
        </w:rPr>
        <w:t> </w:t>
      </w:r>
      <w:r>
        <w:rPr/>
        <w:t>in</w:t>
      </w:r>
      <w:r>
        <w:rPr>
          <w:spacing w:val="-6"/>
        </w:rPr>
        <w:t> </w:t>
      </w:r>
      <w:r>
        <w:rPr/>
        <w:t>Construction.</w:t>
      </w:r>
    </w:p>
    <w:p>
      <w:pPr>
        <w:pStyle w:val="BodyText"/>
        <w:spacing w:line="283" w:lineRule="auto" w:before="132"/>
        <w:ind w:left="319" w:right="692"/>
      </w:pPr>
      <w:r>
        <w:rPr/>
        <w:t>SafeWork</w:t>
      </w:r>
      <w:r>
        <w:rPr>
          <w:spacing w:val="-18"/>
        </w:rPr>
        <w:t> </w:t>
      </w:r>
      <w:r>
        <w:rPr/>
        <w:t>organised</w:t>
      </w:r>
      <w:r>
        <w:rPr>
          <w:spacing w:val="-17"/>
        </w:rPr>
        <w:t> </w:t>
      </w:r>
      <w:r>
        <w:rPr/>
        <w:t>the</w:t>
      </w:r>
      <w:r>
        <w:rPr>
          <w:spacing w:val="-18"/>
        </w:rPr>
        <w:t> </w:t>
      </w:r>
      <w:r>
        <w:rPr/>
        <w:t>training</w:t>
      </w:r>
      <w:r>
        <w:rPr>
          <w:spacing w:val="-17"/>
        </w:rPr>
        <w:t> </w:t>
      </w:r>
      <w:r>
        <w:rPr/>
        <w:t>sessions</w:t>
      </w:r>
      <w:r>
        <w:rPr>
          <w:spacing w:val="-18"/>
        </w:rPr>
        <w:t> </w:t>
      </w:r>
      <w:r>
        <w:rPr/>
        <w:t>which</w:t>
      </w:r>
      <w:r>
        <w:rPr>
          <w:spacing w:val="-17"/>
        </w:rPr>
        <w:t> </w:t>
      </w:r>
      <w:r>
        <w:rPr/>
        <w:t>were delivered in Liverpool, Dubbo, Karuah, Casino and Ulladulla.</w:t>
      </w:r>
    </w:p>
    <w:p>
      <w:pPr>
        <w:pStyle w:val="BodyText"/>
        <w:spacing w:line="283" w:lineRule="auto" w:before="132"/>
        <w:ind w:left="319" w:right="619"/>
      </w:pPr>
      <w:r>
        <w:rPr/>
        <w:t>Training incentives were also offered through Local Government NSW and a workshop was held at the </w:t>
      </w:r>
      <w:r>
        <w:rPr>
          <w:spacing w:val="-5"/>
        </w:rPr>
        <w:t>2016 </w:t>
      </w:r>
      <w:r>
        <w:rPr/>
        <w:t>Local Government Aboriginal Network Conference </w:t>
      </w:r>
      <w:r>
        <w:rPr>
          <w:spacing w:val="-4"/>
        </w:rPr>
        <w:t>(24–26 </w:t>
      </w:r>
      <w:r>
        <w:rPr/>
        <w:t>August </w:t>
      </w:r>
      <w:r>
        <w:rPr>
          <w:spacing w:val="-5"/>
        </w:rPr>
        <w:t>2016 </w:t>
      </w:r>
      <w:r>
        <w:rPr/>
        <w:t>in Tweed Heads) on asbestos</w:t>
      </w:r>
    </w:p>
    <w:p>
      <w:pPr>
        <w:pStyle w:val="BodyText"/>
        <w:spacing w:line="283" w:lineRule="auto" w:before="3"/>
        <w:ind w:left="319" w:right="692"/>
      </w:pPr>
      <w:r>
        <w:rPr/>
        <w:t>issues</w:t>
      </w:r>
      <w:r>
        <w:rPr>
          <w:spacing w:val="-10"/>
        </w:rPr>
        <w:t> </w:t>
      </w:r>
      <w:r>
        <w:rPr/>
        <w:t>to</w:t>
      </w:r>
      <w:r>
        <w:rPr>
          <w:spacing w:val="-10"/>
        </w:rPr>
        <w:t> </w:t>
      </w:r>
      <w:r>
        <w:rPr/>
        <w:t>both</w:t>
      </w:r>
      <w:r>
        <w:rPr>
          <w:spacing w:val="-10"/>
        </w:rPr>
        <w:t> </w:t>
      </w:r>
      <w:r>
        <w:rPr/>
        <w:t>share</w:t>
      </w:r>
      <w:r>
        <w:rPr>
          <w:spacing w:val="-10"/>
        </w:rPr>
        <w:t> </w:t>
      </w:r>
      <w:r>
        <w:rPr/>
        <w:t>knowledge</w:t>
      </w:r>
      <w:r>
        <w:rPr>
          <w:spacing w:val="-10"/>
        </w:rPr>
        <w:t> </w:t>
      </w:r>
      <w:r>
        <w:rPr/>
        <w:t>as</w:t>
      </w:r>
      <w:r>
        <w:rPr>
          <w:spacing w:val="-10"/>
        </w:rPr>
        <w:t> </w:t>
      </w:r>
      <w:r>
        <w:rPr/>
        <w:t>well</w:t>
      </w:r>
      <w:r>
        <w:rPr>
          <w:spacing w:val="-10"/>
        </w:rPr>
        <w:t> </w:t>
      </w:r>
      <w:r>
        <w:rPr/>
        <w:t>as</w:t>
      </w:r>
      <w:r>
        <w:rPr>
          <w:spacing w:val="-10"/>
        </w:rPr>
        <w:t> </w:t>
      </w:r>
      <w:r>
        <w:rPr/>
        <w:t>consult</w:t>
      </w:r>
      <w:r>
        <w:rPr>
          <w:spacing w:val="-10"/>
        </w:rPr>
        <w:t> </w:t>
      </w:r>
      <w:r>
        <w:rPr/>
        <w:t>with delegates.</w:t>
      </w:r>
    </w:p>
    <w:p>
      <w:pPr>
        <w:pStyle w:val="Heading1"/>
        <w:spacing w:before="141"/>
        <w:ind w:left="319"/>
      </w:pPr>
      <w:r>
        <w:rPr>
          <w:w w:val="90"/>
        </w:rPr>
        <w:t>Results</w:t>
      </w:r>
    </w:p>
    <w:p>
      <w:pPr>
        <w:pStyle w:val="BodyText"/>
        <w:spacing w:before="159"/>
        <w:ind w:left="319"/>
      </w:pPr>
      <w:r>
        <w:rPr/>
        <w:t>Guidance material</w:t>
      </w:r>
    </w:p>
    <w:p>
      <w:pPr>
        <w:pStyle w:val="BodyText"/>
        <w:spacing w:line="283" w:lineRule="auto" w:before="170"/>
        <w:ind w:left="319" w:right="883"/>
      </w:pPr>
      <w:r>
        <w:rPr/>
        <w:t>A</w:t>
      </w:r>
      <w:r>
        <w:rPr>
          <w:spacing w:val="-18"/>
        </w:rPr>
        <w:t> </w:t>
      </w:r>
      <w:r>
        <w:rPr/>
        <w:t>suite</w:t>
      </w:r>
      <w:r>
        <w:rPr>
          <w:spacing w:val="-18"/>
        </w:rPr>
        <w:t> </w:t>
      </w:r>
      <w:r>
        <w:rPr/>
        <w:t>of</w:t>
      </w:r>
      <w:r>
        <w:rPr>
          <w:spacing w:val="-18"/>
        </w:rPr>
        <w:t> </w:t>
      </w:r>
      <w:r>
        <w:rPr/>
        <w:t>culturally</w:t>
      </w:r>
      <w:r>
        <w:rPr>
          <w:spacing w:val="-18"/>
        </w:rPr>
        <w:t> </w:t>
      </w:r>
      <w:r>
        <w:rPr/>
        <w:t>appropriate</w:t>
      </w:r>
      <w:r>
        <w:rPr>
          <w:spacing w:val="-17"/>
        </w:rPr>
        <w:t> </w:t>
      </w:r>
      <w:r>
        <w:rPr/>
        <w:t>guidance</w:t>
      </w:r>
      <w:r>
        <w:rPr>
          <w:spacing w:val="-18"/>
        </w:rPr>
        <w:t> </w:t>
      </w:r>
      <w:r>
        <w:rPr/>
        <w:t>material was</w:t>
      </w:r>
      <w:r>
        <w:rPr>
          <w:spacing w:val="-15"/>
        </w:rPr>
        <w:t> </w:t>
      </w:r>
      <w:r>
        <w:rPr/>
        <w:t>developed</w:t>
      </w:r>
      <w:r>
        <w:rPr>
          <w:spacing w:val="-14"/>
        </w:rPr>
        <w:t> </w:t>
      </w:r>
      <w:r>
        <w:rPr/>
        <w:t>and</w:t>
      </w:r>
      <w:r>
        <w:rPr>
          <w:spacing w:val="-15"/>
        </w:rPr>
        <w:t> </w:t>
      </w:r>
      <w:r>
        <w:rPr/>
        <w:t>distributed</w:t>
      </w:r>
      <w:r>
        <w:rPr>
          <w:spacing w:val="-14"/>
        </w:rPr>
        <w:t> </w:t>
      </w:r>
      <w:r>
        <w:rPr/>
        <w:t>as</w:t>
      </w:r>
      <w:r>
        <w:rPr>
          <w:spacing w:val="-15"/>
        </w:rPr>
        <w:t> </w:t>
      </w:r>
      <w:r>
        <w:rPr/>
        <w:t>information</w:t>
      </w:r>
      <w:r>
        <w:rPr>
          <w:spacing w:val="-14"/>
        </w:rPr>
        <w:t> </w:t>
      </w:r>
      <w:r>
        <w:rPr/>
        <w:t>kits</w:t>
      </w:r>
    </w:p>
    <w:p>
      <w:pPr>
        <w:pStyle w:val="BodyText"/>
        <w:spacing w:line="283" w:lineRule="auto" w:before="2"/>
        <w:ind w:left="319" w:right="792"/>
      </w:pPr>
      <w:r>
        <w:rPr/>
        <w:t>to</w:t>
      </w:r>
      <w:r>
        <w:rPr>
          <w:spacing w:val="-13"/>
        </w:rPr>
        <w:t> </w:t>
      </w:r>
      <w:r>
        <w:rPr/>
        <w:t>approximately</w:t>
      </w:r>
      <w:r>
        <w:rPr>
          <w:spacing w:val="-13"/>
        </w:rPr>
        <w:t> </w:t>
      </w:r>
      <w:r>
        <w:rPr/>
        <w:t>250</w:t>
      </w:r>
      <w:r>
        <w:rPr>
          <w:spacing w:val="-12"/>
        </w:rPr>
        <w:t> </w:t>
      </w:r>
      <w:r>
        <w:rPr/>
        <w:t>recipients,</w:t>
      </w:r>
      <w:r>
        <w:rPr>
          <w:spacing w:val="-13"/>
        </w:rPr>
        <w:t> </w:t>
      </w:r>
      <w:r>
        <w:rPr/>
        <w:t>including</w:t>
      </w:r>
      <w:r>
        <w:rPr>
          <w:spacing w:val="-12"/>
        </w:rPr>
        <w:t> </w:t>
      </w:r>
      <w:r>
        <w:rPr/>
        <w:t>l</w:t>
      </w:r>
      <w:r>
        <w:rPr>
          <w:spacing w:val="-13"/>
        </w:rPr>
        <w:t> </w:t>
      </w:r>
      <w:r>
        <w:rPr/>
        <w:t>Aboriginal Local Land Councils, Aboriginal Housing providers, the</w:t>
      </w:r>
      <w:r>
        <w:rPr>
          <w:spacing w:val="-8"/>
        </w:rPr>
        <w:t> </w:t>
      </w:r>
      <w:r>
        <w:rPr/>
        <w:t>NSW</w:t>
      </w:r>
      <w:r>
        <w:rPr>
          <w:spacing w:val="-8"/>
        </w:rPr>
        <w:t> </w:t>
      </w:r>
      <w:r>
        <w:rPr/>
        <w:t>Aboriginal</w:t>
      </w:r>
      <w:r>
        <w:rPr>
          <w:spacing w:val="-7"/>
        </w:rPr>
        <w:t> </w:t>
      </w:r>
      <w:r>
        <w:rPr/>
        <w:t>Land</w:t>
      </w:r>
      <w:r>
        <w:rPr>
          <w:spacing w:val="-8"/>
        </w:rPr>
        <w:t> </w:t>
      </w:r>
      <w:r>
        <w:rPr/>
        <w:t>Council,</w:t>
      </w:r>
      <w:r>
        <w:rPr>
          <w:spacing w:val="-8"/>
        </w:rPr>
        <w:t> </w:t>
      </w:r>
      <w:r>
        <w:rPr/>
        <w:t>HACA</w:t>
      </w:r>
      <w:r>
        <w:rPr>
          <w:spacing w:val="-7"/>
        </w:rPr>
        <w:t> </w:t>
      </w:r>
      <w:r>
        <w:rPr/>
        <w:t>and</w:t>
      </w:r>
      <w:r>
        <w:rPr>
          <w:spacing w:val="-8"/>
        </w:rPr>
        <w:t> </w:t>
      </w:r>
      <w:r>
        <w:rPr/>
        <w:t>other</w:t>
      </w:r>
      <w:r>
        <w:rPr>
          <w:spacing w:val="-8"/>
        </w:rPr>
        <w:t> </w:t>
      </w:r>
      <w:r>
        <w:rPr/>
        <w:t>key stakeholders.</w:t>
      </w:r>
      <w:r>
        <w:rPr>
          <w:spacing w:val="-18"/>
        </w:rPr>
        <w:t> </w:t>
      </w:r>
      <w:r>
        <w:rPr/>
        <w:t>These</w:t>
      </w:r>
      <w:r>
        <w:rPr>
          <w:spacing w:val="-18"/>
        </w:rPr>
        <w:t> </w:t>
      </w:r>
      <w:r>
        <w:rPr/>
        <w:t>information</w:t>
      </w:r>
      <w:r>
        <w:rPr>
          <w:spacing w:val="-18"/>
        </w:rPr>
        <w:t> </w:t>
      </w:r>
      <w:r>
        <w:rPr/>
        <w:t>kits</w:t>
      </w:r>
      <w:r>
        <w:rPr>
          <w:spacing w:val="-18"/>
        </w:rPr>
        <w:t> </w:t>
      </w:r>
      <w:r>
        <w:rPr/>
        <w:t>included</w:t>
      </w:r>
      <w:r>
        <w:rPr>
          <w:spacing w:val="-18"/>
        </w:rPr>
        <w:t> </w:t>
      </w:r>
      <w:r>
        <w:rPr/>
        <w:t>posters, magnets, caps, tote bags and an asbestos safety checklist,</w:t>
      </w:r>
      <w:r>
        <w:rPr>
          <w:spacing w:val="-11"/>
        </w:rPr>
        <w:t> </w:t>
      </w:r>
      <w:r>
        <w:rPr/>
        <w:t>plus</w:t>
      </w:r>
      <w:r>
        <w:rPr>
          <w:spacing w:val="-11"/>
        </w:rPr>
        <w:t> </w:t>
      </w:r>
      <w:r>
        <w:rPr/>
        <w:t>a</w:t>
      </w:r>
      <w:r>
        <w:rPr>
          <w:spacing w:val="-11"/>
        </w:rPr>
        <w:t> </w:t>
      </w:r>
      <w:r>
        <w:rPr/>
        <w:t>total</w:t>
      </w:r>
      <w:r>
        <w:rPr>
          <w:spacing w:val="-10"/>
        </w:rPr>
        <w:t> </w:t>
      </w:r>
      <w:r>
        <w:rPr/>
        <w:t>of</w:t>
      </w:r>
      <w:r>
        <w:rPr>
          <w:spacing w:val="-11"/>
        </w:rPr>
        <w:t> </w:t>
      </w:r>
      <w:r>
        <w:rPr/>
        <w:t>5,000</w:t>
      </w:r>
      <w:r>
        <w:rPr>
          <w:spacing w:val="-11"/>
        </w:rPr>
        <w:t> </w:t>
      </w:r>
      <w:r>
        <w:rPr/>
        <w:t>brochures</w:t>
      </w:r>
      <w:r>
        <w:rPr>
          <w:spacing w:val="-11"/>
        </w:rPr>
        <w:t> </w:t>
      </w:r>
      <w:r>
        <w:rPr/>
        <w:t>for</w:t>
      </w:r>
      <w:r>
        <w:rPr>
          <w:spacing w:val="-10"/>
        </w:rPr>
        <w:t> </w:t>
      </w:r>
      <w:r>
        <w:rPr/>
        <w:t>further</w:t>
      </w:r>
    </w:p>
    <w:p>
      <w:pPr>
        <w:pStyle w:val="BodyText"/>
        <w:spacing w:line="283" w:lineRule="auto" w:before="4"/>
        <w:ind w:left="319" w:right="681"/>
      </w:pPr>
      <w:r>
        <w:rPr/>
        <w:t>distribution in to the Aboriginal community to increase knowledge and awareness about asbestos (Figure 19).</w:t>
      </w:r>
    </w:p>
    <w:p>
      <w:pPr>
        <w:spacing w:after="0" w:line="283" w:lineRule="auto"/>
        <w:sectPr>
          <w:type w:val="continuous"/>
          <w:pgSz w:w="23820" w:h="16840" w:orient="landscape"/>
          <w:pgMar w:top="1120" w:bottom="280" w:left="0" w:right="1020"/>
          <w:cols w:num="4" w:equalWidth="0">
            <w:col w:w="5156" w:space="40"/>
            <w:col w:w="5037" w:space="1672"/>
            <w:col w:w="5821" w:space="40"/>
            <w:col w:w="5034"/>
          </w:cols>
        </w:sectPr>
      </w:pPr>
    </w:p>
    <w:p>
      <w:pPr>
        <w:pStyle w:val="BodyText"/>
        <w:rPr>
          <w:sz w:val="20"/>
        </w:rPr>
      </w:pPr>
    </w:p>
    <w:p>
      <w:pPr>
        <w:pStyle w:val="BodyText"/>
        <w:spacing w:before="5"/>
        <w:rPr>
          <w:sz w:val="29"/>
        </w:rPr>
      </w:pPr>
    </w:p>
    <w:p>
      <w:pPr>
        <w:tabs>
          <w:tab w:pos="22540" w:val="left" w:leader="none"/>
        </w:tabs>
        <w:spacing w:before="98"/>
        <w:ind w:left="1133" w:right="0" w:firstLine="0"/>
        <w:jc w:val="left"/>
        <w:rPr>
          <w:sz w:val="14"/>
        </w:rPr>
      </w:pPr>
      <w:r>
        <w:rPr>
          <w:sz w:val="14"/>
        </w:rPr>
        <w:t>28</w:t>
        <w:tab/>
        <w:t>29</w:t>
      </w:r>
    </w:p>
    <w:p>
      <w:pPr>
        <w:spacing w:after="0"/>
        <w:jc w:val="left"/>
        <w:rPr>
          <w:sz w:val="14"/>
        </w:rPr>
        <w:sectPr>
          <w:type w:val="continuous"/>
          <w:pgSz w:w="23820" w:h="16840" w:orient="landscape"/>
          <w:pgMar w:top="1120" w:bottom="280" w:left="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p>
    <w:p>
      <w:pPr>
        <w:spacing w:after="0"/>
        <w:sectPr>
          <w:pgSz w:w="23820" w:h="16840" w:orient="landscape"/>
          <w:pgMar w:top="0" w:bottom="0" w:left="0" w:right="1020"/>
        </w:sectPr>
      </w:pPr>
    </w:p>
    <w:p>
      <w:pPr>
        <w:pStyle w:val="BodyText"/>
        <w:spacing w:before="100"/>
        <w:ind w:left="1700"/>
      </w:pPr>
      <w:r>
        <w:rPr/>
        <w:drawing>
          <wp:anchor distT="0" distB="0" distL="0" distR="0" allowOverlap="1" layoutInCell="1" locked="0" behindDoc="1" simplePos="0" relativeHeight="268429535">
            <wp:simplePos x="0" y="0"/>
            <wp:positionH relativeFrom="page">
              <wp:posOffset>7559992</wp:posOffset>
            </wp:positionH>
            <wp:positionV relativeFrom="page">
              <wp:posOffset>0</wp:posOffset>
            </wp:positionV>
            <wp:extent cx="7559993" cy="10692003"/>
            <wp:effectExtent l="0" t="0" r="0" b="0"/>
            <wp:wrapNone/>
            <wp:docPr id="27" name="image3.png" descr=""/>
            <wp:cNvGraphicFramePr>
              <a:graphicFrameLocks noChangeAspect="1"/>
            </wp:cNvGraphicFramePr>
            <a:graphic>
              <a:graphicData uri="http://schemas.openxmlformats.org/drawingml/2006/picture">
                <pic:pic>
                  <pic:nvPicPr>
                    <pic:cNvPr id="28" name="image3.png"/>
                    <pic:cNvPicPr/>
                  </pic:nvPicPr>
                  <pic:blipFill>
                    <a:blip r:embed="rId7" cstate="print"/>
                    <a:stretch>
                      <a:fillRect/>
                    </a:stretch>
                  </pic:blipFill>
                  <pic:spPr>
                    <a:xfrm>
                      <a:off x="0" y="0"/>
                      <a:ext cx="7559993" cy="10692003"/>
                    </a:xfrm>
                    <a:prstGeom prst="rect">
                      <a:avLst/>
                    </a:prstGeom>
                  </pic:spPr>
                </pic:pic>
              </a:graphicData>
            </a:graphic>
          </wp:anchor>
        </w:drawing>
      </w:r>
      <w:bookmarkStart w:name="ASEA_2017-18_Progress Report 16.pdf" w:id="2"/>
      <w:bookmarkEnd w:id="2"/>
      <w:r>
        <w:rPr/>
      </w:r>
      <w:r>
        <w:rPr/>
        <w:t>Asbestos removal training statistics</w:t>
      </w:r>
    </w:p>
    <w:p>
      <w:pPr>
        <w:pStyle w:val="BodyText"/>
        <w:spacing w:before="170"/>
        <w:ind w:left="1700"/>
      </w:pPr>
      <w:r>
        <w:rPr>
          <w:position w:val="-3"/>
        </w:rPr>
        <w:drawing>
          <wp:inline distT="0" distB="0" distL="0" distR="0">
            <wp:extent cx="71843" cy="111455"/>
            <wp:effectExtent l="0" t="0" r="0" b="0"/>
            <wp:docPr id="29" name="image1.png" descr=""/>
            <wp:cNvGraphicFramePr>
              <a:graphicFrameLocks noChangeAspect="1"/>
            </wp:cNvGraphicFramePr>
            <a:graphic>
              <a:graphicData uri="http://schemas.openxmlformats.org/drawingml/2006/picture">
                <pic:pic>
                  <pic:nvPicPr>
                    <pic:cNvPr id="30" name="image1.png"/>
                    <pic:cNvPicPr/>
                  </pic:nvPicPr>
                  <pic:blipFill>
                    <a:blip r:embed="rId5" cstate="print"/>
                    <a:stretch>
                      <a:fillRect/>
                    </a:stretch>
                  </pic:blipFill>
                  <pic:spPr>
                    <a:xfrm>
                      <a:off x="0" y="0"/>
                      <a:ext cx="71843" cy="111455"/>
                    </a:xfrm>
                    <a:prstGeom prst="rect">
                      <a:avLst/>
                    </a:prstGeom>
                  </pic:spPr>
                </pic:pic>
              </a:graphicData>
            </a:graphic>
          </wp:inline>
        </w:drawing>
      </w:r>
      <w:r>
        <w:rPr>
          <w:position w:val="-3"/>
        </w:rPr>
      </w:r>
      <w:r>
        <w:rPr>
          <w:rFonts w:ascii="Times New Roman"/>
          <w:sz w:val="20"/>
        </w:rPr>
        <w:t>  </w:t>
      </w:r>
      <w:r>
        <w:rPr>
          <w:rFonts w:ascii="Times New Roman"/>
          <w:spacing w:val="20"/>
          <w:sz w:val="20"/>
        </w:rPr>
        <w:t> </w:t>
      </w:r>
      <w:r>
        <w:rPr/>
        <w:t>forty-five people completed the Remove</w:t>
      </w:r>
      <w:r>
        <w:rPr>
          <w:spacing w:val="-19"/>
        </w:rPr>
        <w:t> </w:t>
      </w:r>
      <w:r>
        <w:rPr/>
        <w:t>Non-</w:t>
      </w:r>
    </w:p>
    <w:p>
      <w:pPr>
        <w:pStyle w:val="BodyText"/>
        <w:spacing w:before="41"/>
        <w:ind w:left="1984"/>
      </w:pPr>
      <w:r>
        <w:rPr/>
        <w:t>Friable Asbestos Training</w:t>
      </w:r>
    </w:p>
    <w:p>
      <w:pPr>
        <w:pStyle w:val="BodyText"/>
        <w:spacing w:line="283" w:lineRule="auto" w:before="170"/>
        <w:ind w:left="1984" w:right="652" w:hanging="284"/>
      </w:pPr>
      <w:r>
        <w:rPr>
          <w:position w:val="-3"/>
        </w:rPr>
        <w:drawing>
          <wp:inline distT="0" distB="0" distL="0" distR="0">
            <wp:extent cx="71843" cy="111455"/>
            <wp:effectExtent l="0" t="0" r="0" b="0"/>
            <wp:docPr id="31" name="image1.png" descr=""/>
            <wp:cNvGraphicFramePr>
              <a:graphicFrameLocks noChangeAspect="1"/>
            </wp:cNvGraphicFramePr>
            <a:graphic>
              <a:graphicData uri="http://schemas.openxmlformats.org/drawingml/2006/picture">
                <pic:pic>
                  <pic:nvPicPr>
                    <pic:cNvPr id="32" name="image1.png"/>
                    <pic:cNvPicPr/>
                  </pic:nvPicPr>
                  <pic:blipFill>
                    <a:blip r:embed="rId5" cstate="print"/>
                    <a:stretch>
                      <a:fillRect/>
                    </a:stretch>
                  </pic:blipFill>
                  <pic:spPr>
                    <a:xfrm>
                      <a:off x="0" y="0"/>
                      <a:ext cx="71843" cy="111455"/>
                    </a:xfrm>
                    <a:prstGeom prst="rect">
                      <a:avLst/>
                    </a:prstGeom>
                  </pic:spPr>
                </pic:pic>
              </a:graphicData>
            </a:graphic>
          </wp:inline>
        </w:drawing>
      </w:r>
      <w:r>
        <w:rPr>
          <w:position w:val="-3"/>
        </w:rPr>
      </w:r>
      <w:r>
        <w:rPr>
          <w:rFonts w:ascii="Times New Roman"/>
          <w:sz w:val="20"/>
        </w:rPr>
        <w:t>  </w:t>
      </w:r>
      <w:r>
        <w:rPr>
          <w:rFonts w:ascii="Times New Roman"/>
          <w:spacing w:val="20"/>
          <w:sz w:val="20"/>
        </w:rPr>
        <w:t> </w:t>
      </w:r>
      <w:r>
        <w:rPr/>
        <w:t>thirty-two people completed the</w:t>
      </w:r>
      <w:r>
        <w:rPr>
          <w:spacing w:val="-23"/>
        </w:rPr>
        <w:t> </w:t>
      </w:r>
      <w:r>
        <w:rPr/>
        <w:t>Asbestos Supervision</w:t>
      </w:r>
      <w:r>
        <w:rPr>
          <w:spacing w:val="-3"/>
        </w:rPr>
        <w:t> </w:t>
      </w:r>
      <w:r>
        <w:rPr/>
        <w:t>training</w:t>
      </w:r>
    </w:p>
    <w:p>
      <w:pPr>
        <w:pStyle w:val="BodyText"/>
        <w:spacing w:line="283" w:lineRule="auto" w:before="131"/>
        <w:ind w:left="1984" w:right="383" w:hanging="284"/>
      </w:pPr>
      <w:r>
        <w:rPr>
          <w:position w:val="-3"/>
        </w:rPr>
        <w:drawing>
          <wp:inline distT="0" distB="0" distL="0" distR="0">
            <wp:extent cx="71843" cy="111455"/>
            <wp:effectExtent l="0" t="0" r="0" b="0"/>
            <wp:docPr id="33" name="image2.png" descr=""/>
            <wp:cNvGraphicFramePr>
              <a:graphicFrameLocks noChangeAspect="1"/>
            </wp:cNvGraphicFramePr>
            <a:graphic>
              <a:graphicData uri="http://schemas.openxmlformats.org/drawingml/2006/picture">
                <pic:pic>
                  <pic:nvPicPr>
                    <pic:cNvPr id="34" name="image2.png"/>
                    <pic:cNvPicPr/>
                  </pic:nvPicPr>
                  <pic:blipFill>
                    <a:blip r:embed="rId6" cstate="print"/>
                    <a:stretch>
                      <a:fillRect/>
                    </a:stretch>
                  </pic:blipFill>
                  <pic:spPr>
                    <a:xfrm>
                      <a:off x="0" y="0"/>
                      <a:ext cx="71843" cy="111455"/>
                    </a:xfrm>
                    <a:prstGeom prst="rect">
                      <a:avLst/>
                    </a:prstGeom>
                  </pic:spPr>
                </pic:pic>
              </a:graphicData>
            </a:graphic>
          </wp:inline>
        </w:drawing>
      </w:r>
      <w:r>
        <w:rPr>
          <w:position w:val="-3"/>
        </w:rPr>
      </w:r>
      <w:r>
        <w:rPr>
          <w:rFonts w:ascii="Times New Roman"/>
          <w:sz w:val="20"/>
        </w:rPr>
        <w:t>  </w:t>
      </w:r>
      <w:r>
        <w:rPr>
          <w:rFonts w:ascii="Times New Roman"/>
          <w:spacing w:val="20"/>
          <w:sz w:val="20"/>
        </w:rPr>
        <w:t> </w:t>
      </w:r>
      <w:r>
        <w:rPr/>
        <w:t>eighteen</w:t>
      </w:r>
      <w:r>
        <w:rPr>
          <w:spacing w:val="-10"/>
        </w:rPr>
        <w:t> </w:t>
      </w:r>
      <w:r>
        <w:rPr/>
        <w:t>people</w:t>
      </w:r>
      <w:r>
        <w:rPr>
          <w:spacing w:val="-9"/>
        </w:rPr>
        <w:t> </w:t>
      </w:r>
      <w:r>
        <w:rPr/>
        <w:t>from</w:t>
      </w:r>
      <w:r>
        <w:rPr>
          <w:spacing w:val="-9"/>
        </w:rPr>
        <w:t> </w:t>
      </w:r>
      <w:r>
        <w:rPr/>
        <w:t>the</w:t>
      </w:r>
      <w:r>
        <w:rPr>
          <w:spacing w:val="-9"/>
        </w:rPr>
        <w:t> </w:t>
      </w:r>
      <w:r>
        <w:rPr/>
        <w:t>Clontarf</w:t>
      </w:r>
      <w:r>
        <w:rPr>
          <w:spacing w:val="-9"/>
        </w:rPr>
        <w:t> </w:t>
      </w:r>
      <w:r>
        <w:rPr/>
        <w:t>Foundation in</w:t>
      </w:r>
      <w:r>
        <w:rPr>
          <w:spacing w:val="-9"/>
        </w:rPr>
        <w:t> </w:t>
      </w:r>
      <w:r>
        <w:rPr/>
        <w:t>Wagga</w:t>
      </w:r>
      <w:r>
        <w:rPr>
          <w:spacing w:val="-8"/>
        </w:rPr>
        <w:t> </w:t>
      </w:r>
      <w:r>
        <w:rPr/>
        <w:t>Wagga</w:t>
      </w:r>
      <w:r>
        <w:rPr>
          <w:spacing w:val="-8"/>
        </w:rPr>
        <w:t> </w:t>
      </w:r>
      <w:r>
        <w:rPr/>
        <w:t>were</w:t>
      </w:r>
      <w:r>
        <w:rPr>
          <w:spacing w:val="-8"/>
        </w:rPr>
        <w:t> </w:t>
      </w:r>
      <w:r>
        <w:rPr/>
        <w:t>trained</w:t>
      </w:r>
      <w:r>
        <w:rPr>
          <w:spacing w:val="-8"/>
        </w:rPr>
        <w:t> </w:t>
      </w:r>
      <w:r>
        <w:rPr/>
        <w:t>to</w:t>
      </w:r>
      <w:r>
        <w:rPr>
          <w:spacing w:val="-9"/>
        </w:rPr>
        <w:t> </w:t>
      </w:r>
      <w:r>
        <w:rPr/>
        <w:t>improve</w:t>
      </w:r>
      <w:r>
        <w:rPr>
          <w:spacing w:val="-8"/>
        </w:rPr>
        <w:t> </w:t>
      </w:r>
      <w:r>
        <w:rPr/>
        <w:t>the</w:t>
      </w:r>
    </w:p>
    <w:p>
      <w:pPr>
        <w:pStyle w:val="BodyText"/>
        <w:spacing w:before="2"/>
        <w:ind w:left="1984"/>
      </w:pPr>
      <w:r>
        <w:rPr/>
        <w:t>employment prospects of young Aboriginal men.</w:t>
      </w:r>
    </w:p>
    <w:p>
      <w:pPr>
        <w:pStyle w:val="Heading1"/>
        <w:spacing w:before="179"/>
      </w:pPr>
      <w:r>
        <w:rPr>
          <w:w w:val="90"/>
        </w:rPr>
        <w:t>Outcomes</w:t>
      </w:r>
    </w:p>
    <w:p>
      <w:pPr>
        <w:pStyle w:val="BodyText"/>
        <w:spacing w:line="283" w:lineRule="auto" w:before="159"/>
        <w:ind w:left="1700" w:right="49"/>
      </w:pPr>
      <w:r>
        <w:rPr/>
        <w:t>There</w:t>
      </w:r>
      <w:r>
        <w:rPr>
          <w:spacing w:val="-16"/>
        </w:rPr>
        <w:t> </w:t>
      </w:r>
      <w:r>
        <w:rPr/>
        <w:t>were</w:t>
      </w:r>
      <w:r>
        <w:rPr>
          <w:spacing w:val="-16"/>
        </w:rPr>
        <w:t> </w:t>
      </w:r>
      <w:r>
        <w:rPr/>
        <w:t>several</w:t>
      </w:r>
      <w:r>
        <w:rPr>
          <w:spacing w:val="-16"/>
        </w:rPr>
        <w:t> </w:t>
      </w:r>
      <w:r>
        <w:rPr/>
        <w:t>positive</w:t>
      </w:r>
      <w:r>
        <w:rPr>
          <w:spacing w:val="-16"/>
        </w:rPr>
        <w:t> </w:t>
      </w:r>
      <w:r>
        <w:rPr/>
        <w:t>outcomes</w:t>
      </w:r>
      <w:r>
        <w:rPr>
          <w:spacing w:val="-16"/>
        </w:rPr>
        <w:t> </w:t>
      </w:r>
      <w:r>
        <w:rPr/>
        <w:t>from</w:t>
      </w:r>
      <w:r>
        <w:rPr>
          <w:spacing w:val="-16"/>
        </w:rPr>
        <w:t> </w:t>
      </w:r>
      <w:r>
        <w:rPr/>
        <w:t>the</w:t>
      </w:r>
      <w:r>
        <w:rPr>
          <w:spacing w:val="-16"/>
        </w:rPr>
        <w:t> </w:t>
      </w:r>
      <w:r>
        <w:rPr/>
        <w:t>training program.</w:t>
      </w:r>
    </w:p>
    <w:p>
      <w:pPr>
        <w:pStyle w:val="BodyText"/>
        <w:spacing w:line="283" w:lineRule="auto" w:before="131"/>
        <w:ind w:left="1700" w:right="15"/>
      </w:pPr>
      <w:r>
        <w:rPr/>
        <w:t>A 70 per cent Aboriginal-owned and operated civil and building construction company gained experience</w:t>
      </w:r>
    </w:p>
    <w:p>
      <w:pPr>
        <w:pStyle w:val="BodyText"/>
        <w:spacing w:line="283" w:lineRule="auto" w:before="2"/>
        <w:ind w:left="1700" w:right="-8"/>
      </w:pPr>
      <w:r>
        <w:rPr/>
        <w:t>in asbestos removal, working in conjunction with a licensed</w:t>
      </w:r>
      <w:r>
        <w:rPr>
          <w:spacing w:val="-22"/>
        </w:rPr>
        <w:t> </w:t>
      </w:r>
      <w:r>
        <w:rPr/>
        <w:t>asbestos</w:t>
      </w:r>
      <w:r>
        <w:rPr>
          <w:spacing w:val="-22"/>
        </w:rPr>
        <w:t> </w:t>
      </w:r>
      <w:r>
        <w:rPr/>
        <w:t>removalist.</w:t>
      </w:r>
      <w:r>
        <w:rPr>
          <w:spacing w:val="-22"/>
        </w:rPr>
        <w:t> </w:t>
      </w:r>
      <w:r>
        <w:rPr/>
        <w:t>After</w:t>
      </w:r>
      <w:r>
        <w:rPr>
          <w:spacing w:val="-22"/>
        </w:rPr>
        <w:t> </w:t>
      </w:r>
      <w:r>
        <w:rPr/>
        <w:t>the</w:t>
      </w:r>
      <w:r>
        <w:rPr>
          <w:spacing w:val="-22"/>
        </w:rPr>
        <w:t> </w:t>
      </w:r>
      <w:r>
        <w:rPr/>
        <w:t>required</w:t>
      </w:r>
      <w:r>
        <w:rPr>
          <w:spacing w:val="-21"/>
        </w:rPr>
        <w:t> </w:t>
      </w:r>
      <w:r>
        <w:rPr/>
        <w:t>industry experience,</w:t>
      </w:r>
      <w:r>
        <w:rPr>
          <w:spacing w:val="-6"/>
        </w:rPr>
        <w:t> </w:t>
      </w:r>
      <w:r>
        <w:rPr/>
        <w:t>the</w:t>
      </w:r>
      <w:r>
        <w:rPr>
          <w:spacing w:val="-5"/>
        </w:rPr>
        <w:t> </w:t>
      </w:r>
      <w:r>
        <w:rPr/>
        <w:t>company</w:t>
      </w:r>
      <w:r>
        <w:rPr>
          <w:spacing w:val="-5"/>
        </w:rPr>
        <w:t> </w:t>
      </w:r>
      <w:r>
        <w:rPr/>
        <w:t>will</w:t>
      </w:r>
      <w:r>
        <w:rPr>
          <w:spacing w:val="-6"/>
        </w:rPr>
        <w:t> </w:t>
      </w:r>
      <w:r>
        <w:rPr/>
        <w:t>be</w:t>
      </w:r>
      <w:r>
        <w:rPr>
          <w:spacing w:val="-5"/>
        </w:rPr>
        <w:t> </w:t>
      </w:r>
      <w:r>
        <w:rPr/>
        <w:t>able</w:t>
      </w:r>
      <w:r>
        <w:rPr>
          <w:spacing w:val="-5"/>
        </w:rPr>
        <w:t> </w:t>
      </w:r>
      <w:r>
        <w:rPr/>
        <w:t>to</w:t>
      </w:r>
      <w:r>
        <w:rPr>
          <w:spacing w:val="-6"/>
        </w:rPr>
        <w:t> </w:t>
      </w:r>
      <w:r>
        <w:rPr/>
        <w:t>apply</w:t>
      </w:r>
      <w:r>
        <w:rPr>
          <w:spacing w:val="-5"/>
        </w:rPr>
        <w:t> </w:t>
      </w:r>
      <w:r>
        <w:rPr/>
        <w:t>for</w:t>
      </w:r>
    </w:p>
    <w:p>
      <w:pPr>
        <w:pStyle w:val="BodyText"/>
        <w:spacing w:line="283" w:lineRule="auto" w:before="2"/>
        <w:ind w:left="1700" w:right="93"/>
      </w:pPr>
      <w:r>
        <w:rPr/>
        <w:t>their own asbestos licence, which will enable them to expand their business.</w:t>
      </w:r>
    </w:p>
    <w:p>
      <w:pPr>
        <w:pStyle w:val="BodyText"/>
        <w:spacing w:line="283" w:lineRule="auto" w:before="131"/>
        <w:ind w:left="1700" w:right="144"/>
      </w:pPr>
      <w:r>
        <w:rPr/>
        <w:t>Some of the other participants have also gained employment with licensed asbestos removalists, and a number of Land Councils are evaluating how they could integrate their workers’ new skills into their environmental programs.</w:t>
      </w:r>
    </w:p>
    <w:p>
      <w:pPr>
        <w:pStyle w:val="BodyText"/>
        <w:spacing w:line="283" w:lineRule="auto" w:before="133"/>
        <w:ind w:left="1700"/>
      </w:pPr>
      <w:r>
        <w:rPr/>
        <w:t>Sufficient</w:t>
      </w:r>
      <w:r>
        <w:rPr>
          <w:spacing w:val="-12"/>
        </w:rPr>
        <w:t> </w:t>
      </w:r>
      <w:r>
        <w:rPr/>
        <w:t>training</w:t>
      </w:r>
      <w:r>
        <w:rPr>
          <w:spacing w:val="-11"/>
        </w:rPr>
        <w:t> </w:t>
      </w:r>
      <w:r>
        <w:rPr/>
        <w:t>and</w:t>
      </w:r>
      <w:r>
        <w:rPr>
          <w:spacing w:val="-11"/>
        </w:rPr>
        <w:t> </w:t>
      </w:r>
      <w:r>
        <w:rPr/>
        <w:t>experience</w:t>
      </w:r>
      <w:r>
        <w:rPr>
          <w:spacing w:val="-11"/>
        </w:rPr>
        <w:t> </w:t>
      </w:r>
      <w:r>
        <w:rPr/>
        <w:t>acquired</w:t>
      </w:r>
      <w:r>
        <w:rPr>
          <w:spacing w:val="-12"/>
        </w:rPr>
        <w:t> </w:t>
      </w:r>
      <w:r>
        <w:rPr/>
        <w:t>through</w:t>
      </w:r>
      <w:r>
        <w:rPr>
          <w:spacing w:val="-11"/>
        </w:rPr>
        <w:t> </w:t>
      </w:r>
      <w:r>
        <w:rPr/>
        <w:t>the project</w:t>
      </w:r>
      <w:r>
        <w:rPr>
          <w:spacing w:val="-9"/>
        </w:rPr>
        <w:t> </w:t>
      </w:r>
      <w:r>
        <w:rPr/>
        <w:t>may</w:t>
      </w:r>
      <w:r>
        <w:rPr>
          <w:spacing w:val="-10"/>
        </w:rPr>
        <w:t> </w:t>
      </w:r>
      <w:r>
        <w:rPr/>
        <w:t>lead</w:t>
      </w:r>
      <w:r>
        <w:rPr>
          <w:spacing w:val="-9"/>
        </w:rPr>
        <w:t> </w:t>
      </w:r>
      <w:r>
        <w:rPr/>
        <w:t>to</w:t>
      </w:r>
      <w:r>
        <w:rPr>
          <w:spacing w:val="-9"/>
        </w:rPr>
        <w:t> </w:t>
      </w:r>
      <w:r>
        <w:rPr/>
        <w:t>Local</w:t>
      </w:r>
      <w:r>
        <w:rPr>
          <w:spacing w:val="-9"/>
        </w:rPr>
        <w:t> </w:t>
      </w:r>
      <w:r>
        <w:rPr/>
        <w:t>Aboriginal</w:t>
      </w:r>
      <w:r>
        <w:rPr>
          <w:spacing w:val="-9"/>
        </w:rPr>
        <w:t> </w:t>
      </w:r>
      <w:r>
        <w:rPr/>
        <w:t>Councils’</w:t>
      </w:r>
      <w:r>
        <w:rPr>
          <w:spacing w:val="-9"/>
        </w:rPr>
        <w:t> </w:t>
      </w:r>
      <w:r>
        <w:rPr/>
        <w:t>eligibility to apply for and obtain a non-friable asbestos removal licence with SafeWork</w:t>
      </w:r>
      <w:r>
        <w:rPr>
          <w:spacing w:val="-11"/>
        </w:rPr>
        <w:t> </w:t>
      </w:r>
      <w:r>
        <w:rPr>
          <w:spacing w:val="-3"/>
        </w:rPr>
        <w:t>NSW.</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spacing w:before="0"/>
        <w:ind w:left="1133" w:right="0" w:firstLine="0"/>
        <w:jc w:val="left"/>
        <w:rPr>
          <w:sz w:val="14"/>
        </w:rPr>
      </w:pPr>
      <w:r>
        <w:rPr>
          <w:sz w:val="14"/>
        </w:rPr>
        <w:t>30</w:t>
      </w:r>
    </w:p>
    <w:p>
      <w:pPr>
        <w:pStyle w:val="Heading1"/>
        <w:spacing w:before="97"/>
        <w:ind w:left="416"/>
      </w:pPr>
      <w:r>
        <w:rPr/>
        <w:br w:type="column"/>
      </w:r>
      <w:r>
        <w:rPr>
          <w:w w:val="90"/>
        </w:rPr>
        <w:t>Next steps</w:t>
      </w:r>
    </w:p>
    <w:p>
      <w:pPr>
        <w:pStyle w:val="BodyText"/>
        <w:spacing w:line="283" w:lineRule="auto" w:before="159"/>
        <w:ind w:left="416" w:right="12644"/>
      </w:pPr>
      <w:r>
        <w:rPr/>
        <w:t>The Environment Protection Authority (EPA) have been granted funding through the NSW Government for asbestos management, clean-up and awareness activities including specific funding for Aboriginal Programs. A new asbestos directorate has been established within the EPA as at 1 July 2018 who will oversee key prevention and awareness campaigns.</w:t>
      </w:r>
    </w:p>
    <w:p>
      <w:pPr>
        <w:pStyle w:val="Heading1"/>
        <w:spacing w:before="144"/>
        <w:ind w:left="416"/>
      </w:pPr>
      <w:r>
        <w:rPr>
          <w:w w:val="90"/>
        </w:rPr>
        <w:t>More information</w:t>
      </w:r>
    </w:p>
    <w:p>
      <w:pPr>
        <w:pStyle w:val="BodyText"/>
        <w:spacing w:before="159"/>
        <w:ind w:left="416"/>
      </w:pPr>
      <w:r>
        <w:rPr/>
        <w:t>https://asbestosawareness.com.au/</w:t>
      </w:r>
    </w:p>
    <w:p>
      <w:pPr>
        <w:pStyle w:val="BodyText"/>
        <w:rPr>
          <w:sz w:val="22"/>
        </w:rPr>
      </w:pPr>
    </w:p>
    <w:p>
      <w:pPr>
        <w:pStyle w:val="BodyText"/>
        <w:rPr>
          <w:sz w:val="22"/>
        </w:rPr>
      </w:pPr>
    </w:p>
    <w:p>
      <w:pPr>
        <w:pStyle w:val="BodyText"/>
        <w:rPr>
          <w:sz w:val="22"/>
        </w:rPr>
      </w:pPr>
    </w:p>
    <w:p>
      <w:pPr>
        <w:pStyle w:val="BodyText"/>
        <w:spacing w:line="283" w:lineRule="auto"/>
        <w:ind w:left="416" w:right="13593"/>
      </w:pPr>
      <w:r>
        <w:rPr/>
        <w:t>Figure 19: Asbestos awareness poster for Aboriginal communities</w:t>
      </w:r>
    </w:p>
    <w:p>
      <w:pPr>
        <w:pStyle w:val="BodyText"/>
        <w:spacing w:before="1"/>
        <w:rPr>
          <w:sz w:val="9"/>
        </w:rPr>
      </w:pPr>
    </w:p>
    <w:p>
      <w:pPr>
        <w:pStyle w:val="BodyText"/>
        <w:ind w:left="416"/>
        <w:rPr>
          <w:sz w:val="20"/>
        </w:rPr>
      </w:pPr>
      <w:r>
        <w:rPr>
          <w:sz w:val="20"/>
        </w:rPr>
        <w:drawing>
          <wp:inline distT="0" distB="0" distL="0" distR="0">
            <wp:extent cx="2534765" cy="3583304"/>
            <wp:effectExtent l="0" t="0" r="0" b="0"/>
            <wp:docPr id="35" name="image4.jpeg" descr=""/>
            <wp:cNvGraphicFramePr>
              <a:graphicFrameLocks noChangeAspect="1"/>
            </wp:cNvGraphicFramePr>
            <a:graphic>
              <a:graphicData uri="http://schemas.openxmlformats.org/drawingml/2006/picture">
                <pic:pic>
                  <pic:nvPicPr>
                    <pic:cNvPr id="36" name="image4.jpeg"/>
                    <pic:cNvPicPr/>
                  </pic:nvPicPr>
                  <pic:blipFill>
                    <a:blip r:embed="rId8" cstate="print"/>
                    <a:stretch>
                      <a:fillRect/>
                    </a:stretch>
                  </pic:blipFill>
                  <pic:spPr>
                    <a:xfrm>
                      <a:off x="0" y="0"/>
                      <a:ext cx="2534765" cy="3583304"/>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spacing w:before="1"/>
        <w:ind w:left="0" w:right="111" w:firstLine="0"/>
        <w:jc w:val="right"/>
        <w:rPr>
          <w:sz w:val="14"/>
        </w:rPr>
      </w:pPr>
      <w:r>
        <w:rPr>
          <w:w w:val="95"/>
          <w:sz w:val="14"/>
        </w:rPr>
        <w:t>31</w:t>
      </w:r>
    </w:p>
    <w:sectPr>
      <w:type w:val="continuous"/>
      <w:pgSz w:w="23820" w:h="16840" w:orient="landscape"/>
      <w:pgMar w:top="1120" w:bottom="280" w:left="0" w:right="1020"/>
      <w:cols w:num="2" w:equalWidth="0">
        <w:col w:w="5723" w:space="40"/>
        <w:col w:w="17037"/>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18"/>
      <w:szCs w:val="18"/>
    </w:rPr>
  </w:style>
  <w:style w:styleId="Heading1" w:type="paragraph">
    <w:name w:val="Heading 1"/>
    <w:basedOn w:val="Normal"/>
    <w:uiPriority w:val="1"/>
    <w:qFormat/>
    <w:pPr>
      <w:ind w:left="1700"/>
      <w:outlineLvl w:val="1"/>
    </w:pPr>
    <w:rPr>
      <w:rFonts w:ascii="Arial" w:hAnsi="Arial" w:eastAsia="Arial" w:cs="Arial"/>
      <w:sz w:val="28"/>
      <w:szCs w:val="28"/>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2018-12-12T01:53:08Z</dcterms:created>
  <dcterms:modified xsi:type="dcterms:W3CDTF">2018-12-12T01:53:08Z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2018-12-12T00:00:00Z</vt:filetime>
  </property>
  <property fmtid="{D5CDD505-2E9C-101B-9397-08002B2CF9AE}" pid="3" name="Creator">
    <vt:lpwstr>Adobe InDesign CC 14.0 (Macintosh)</vt:lpwstr>
  </property>
  <property fmtid="{D5CDD505-2E9C-101B-9397-08002B2CF9AE}" pid="4" name="LastSaved">
    <vt:filetime>2018-12-12T00:00:00Z</vt:filetime>
  </property>
</Properties>
</file>