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1711" w:right="0" w:firstLine="0"/>
        <w:jc w:val="left"/>
        <w:rPr>
          <w:rFonts w:ascii="Arial"/>
          <w:sz w:val="48"/>
        </w:rPr>
      </w:pPr>
      <w:r>
        <w:rPr/>
        <w:pict>
          <v:shape style="position:absolute;margin-left:56.693401pt;margin-top:-.22816pt;width:21.95pt;height:38.35pt;mso-position-horizontal-relative:page;mso-position-vertical-relative:paragraph;z-index:1024" coordorigin="1134,-5" coordsize="439,767" path="m1189,-5l1135,50,1463,378,1134,707,1189,762,1572,378,1189,-5xe" filled="true" fillcolor="#ed1d24" stroked="false">
            <v:path arrowok="t"/>
            <v:fill type="solid"/>
            <w10:wrap type="none"/>
          </v:shape>
        </w:pict>
      </w:r>
      <w:r>
        <w:rPr>
          <w:rFonts w:ascii="Arial"/>
          <w:color w:val="542785"/>
          <w:w w:val="85"/>
          <w:sz w:val="48"/>
        </w:rPr>
        <w:t>NSW GOVERNMENT</w:t>
      </w:r>
    </w:p>
    <w:p>
      <w:pPr>
        <w:pStyle w:val="BodyText"/>
        <w:rPr>
          <w:rFonts w:ascii="Arial"/>
          <w:sz w:val="20"/>
        </w:rPr>
      </w:pPr>
    </w:p>
    <w:p>
      <w:pPr>
        <w:pStyle w:val="BodyText"/>
        <w:rPr>
          <w:rFonts w:ascii="Arial"/>
          <w:sz w:val="20"/>
        </w:rPr>
      </w:pPr>
    </w:p>
    <w:p>
      <w:pPr>
        <w:pStyle w:val="BodyText"/>
        <w:spacing w:before="6"/>
        <w:rPr>
          <w:rFonts w:ascii="Arial"/>
          <w:sz w:val="17"/>
        </w:rPr>
      </w:pPr>
    </w:p>
    <w:p>
      <w:pPr>
        <w:spacing w:after="0"/>
        <w:rPr>
          <w:rFonts w:ascii="Arial"/>
          <w:sz w:val="17"/>
        </w:rPr>
        <w:sectPr>
          <w:type w:val="continuous"/>
          <w:pgSz w:w="23820" w:h="16840" w:orient="landscape"/>
          <w:pgMar w:top="1120" w:bottom="280" w:left="0" w:right="1020"/>
        </w:sectPr>
      </w:pPr>
    </w:p>
    <w:p>
      <w:pPr>
        <w:pStyle w:val="BodyText"/>
        <w:rPr>
          <w:rFonts w:ascii="Arial"/>
          <w:sz w:val="32"/>
        </w:rPr>
      </w:pPr>
    </w:p>
    <w:p>
      <w:pPr>
        <w:pStyle w:val="BodyText"/>
        <w:rPr>
          <w:rFonts w:ascii="Arial"/>
          <w:sz w:val="32"/>
        </w:rPr>
      </w:pPr>
    </w:p>
    <w:p>
      <w:pPr>
        <w:pStyle w:val="BodyText"/>
        <w:spacing w:before="1"/>
        <w:rPr>
          <w:rFonts w:ascii="Arial"/>
          <w:sz w:val="39"/>
        </w:rPr>
      </w:pPr>
    </w:p>
    <w:p>
      <w:pPr>
        <w:spacing w:before="0"/>
        <w:ind w:left="1700" w:right="0" w:firstLine="0"/>
        <w:jc w:val="left"/>
        <w:rPr>
          <w:rFonts w:ascii="Arial"/>
          <w:sz w:val="28"/>
        </w:rPr>
      </w:pPr>
      <w:r>
        <w:rPr>
          <w:rFonts w:ascii="Arial"/>
          <w:color w:val="00C0F3"/>
          <w:w w:val="90"/>
          <w:sz w:val="28"/>
        </w:rPr>
        <w:t>Strategy:</w:t>
      </w:r>
    </w:p>
    <w:p>
      <w:pPr>
        <w:spacing w:before="38"/>
        <w:ind w:left="1700" w:right="0" w:firstLine="0"/>
        <w:jc w:val="left"/>
        <w:rPr>
          <w:rFonts w:ascii="Arial"/>
          <w:sz w:val="28"/>
        </w:rPr>
      </w:pPr>
      <w:r>
        <w:rPr>
          <w:rFonts w:ascii="Arial"/>
          <w:w w:val="90"/>
          <w:sz w:val="28"/>
        </w:rPr>
        <w:t>Best practice</w:t>
      </w:r>
    </w:p>
    <w:p>
      <w:pPr>
        <w:spacing w:before="168"/>
        <w:ind w:left="1700" w:right="0" w:firstLine="0"/>
        <w:jc w:val="left"/>
        <w:rPr>
          <w:rFonts w:ascii="Arial"/>
          <w:sz w:val="28"/>
        </w:rPr>
      </w:pPr>
      <w:r>
        <w:rPr>
          <w:rFonts w:ascii="Arial"/>
          <w:color w:val="00C0F3"/>
          <w:w w:val="90"/>
          <w:sz w:val="28"/>
        </w:rPr>
        <w:t>Outcome:</w:t>
      </w:r>
    </w:p>
    <w:p>
      <w:pPr>
        <w:spacing w:line="268" w:lineRule="auto" w:before="39"/>
        <w:ind w:left="1700" w:right="488" w:firstLine="0"/>
        <w:jc w:val="both"/>
        <w:rPr>
          <w:rFonts w:ascii="Arial"/>
          <w:sz w:val="28"/>
        </w:rPr>
      </w:pPr>
      <w:r>
        <w:rPr>
          <w:rFonts w:ascii="Arial"/>
          <w:w w:val="80"/>
          <w:sz w:val="28"/>
        </w:rPr>
        <w:t>(O2.1) Evidence-based best </w:t>
      </w:r>
      <w:r>
        <w:rPr>
          <w:rFonts w:ascii="Arial"/>
          <w:w w:val="85"/>
          <w:sz w:val="28"/>
        </w:rPr>
        <w:t>practice</w:t>
      </w:r>
      <w:r>
        <w:rPr>
          <w:rFonts w:ascii="Arial"/>
          <w:spacing w:val="-29"/>
          <w:w w:val="85"/>
          <w:sz w:val="28"/>
        </w:rPr>
        <w:t> </w:t>
      </w:r>
      <w:r>
        <w:rPr>
          <w:rFonts w:ascii="Arial"/>
          <w:w w:val="85"/>
          <w:sz w:val="28"/>
        </w:rPr>
        <w:t>to</w:t>
      </w:r>
      <w:r>
        <w:rPr>
          <w:rFonts w:ascii="Arial"/>
          <w:spacing w:val="-29"/>
          <w:w w:val="85"/>
          <w:sz w:val="28"/>
        </w:rPr>
        <w:t> </w:t>
      </w:r>
      <w:r>
        <w:rPr>
          <w:rFonts w:ascii="Arial"/>
          <w:w w:val="85"/>
          <w:sz w:val="28"/>
        </w:rPr>
        <w:t>minimise</w:t>
      </w:r>
      <w:r>
        <w:rPr>
          <w:rFonts w:ascii="Arial"/>
          <w:spacing w:val="-29"/>
          <w:w w:val="85"/>
          <w:sz w:val="28"/>
        </w:rPr>
        <w:t> </w:t>
      </w:r>
      <w:r>
        <w:rPr>
          <w:rFonts w:ascii="Arial"/>
          <w:w w:val="85"/>
          <w:sz w:val="28"/>
        </w:rPr>
        <w:t>risks</w:t>
      </w:r>
      <w:r>
        <w:rPr>
          <w:rFonts w:ascii="Arial"/>
          <w:spacing w:val="-29"/>
          <w:w w:val="85"/>
          <w:sz w:val="28"/>
        </w:rPr>
        <w:t> </w:t>
      </w:r>
      <w:r>
        <w:rPr>
          <w:rFonts w:ascii="Arial"/>
          <w:w w:val="85"/>
          <w:sz w:val="28"/>
        </w:rPr>
        <w:t>in </w:t>
      </w:r>
      <w:r>
        <w:rPr>
          <w:rFonts w:ascii="Arial"/>
          <w:w w:val="90"/>
          <w:sz w:val="28"/>
        </w:rPr>
        <w:t>targeted</w:t>
      </w:r>
      <w:r>
        <w:rPr>
          <w:rFonts w:ascii="Arial"/>
          <w:spacing w:val="-7"/>
          <w:w w:val="90"/>
          <w:sz w:val="28"/>
        </w:rPr>
        <w:t> </w:t>
      </w:r>
      <w:r>
        <w:rPr>
          <w:rFonts w:ascii="Arial"/>
          <w:w w:val="90"/>
          <w:sz w:val="28"/>
        </w:rPr>
        <w:t>areas</w:t>
      </w:r>
    </w:p>
    <w:p>
      <w:pPr>
        <w:spacing w:before="128"/>
        <w:ind w:left="1700" w:right="0" w:firstLine="0"/>
        <w:jc w:val="left"/>
        <w:rPr>
          <w:rFonts w:ascii="Arial"/>
          <w:sz w:val="28"/>
        </w:rPr>
      </w:pPr>
      <w:r>
        <w:rPr>
          <w:rFonts w:ascii="Arial"/>
          <w:color w:val="00C0F3"/>
          <w:w w:val="90"/>
          <w:sz w:val="28"/>
        </w:rPr>
        <w:t>Deliverable:</w:t>
      </w:r>
    </w:p>
    <w:p>
      <w:pPr>
        <w:spacing w:line="268" w:lineRule="auto" w:before="38"/>
        <w:ind w:left="1700" w:right="-11" w:firstLine="0"/>
        <w:jc w:val="left"/>
        <w:rPr>
          <w:rFonts w:ascii="Arial"/>
          <w:sz w:val="28"/>
        </w:rPr>
      </w:pPr>
      <w:r>
        <w:rPr>
          <w:rFonts w:ascii="Arial"/>
          <w:w w:val="85"/>
          <w:sz w:val="28"/>
        </w:rPr>
        <w:t>(D2.1) Identify opportunities to share</w:t>
      </w:r>
      <w:r>
        <w:rPr>
          <w:rFonts w:ascii="Arial"/>
          <w:spacing w:val="-35"/>
          <w:w w:val="85"/>
          <w:sz w:val="28"/>
        </w:rPr>
        <w:t> </w:t>
      </w:r>
      <w:r>
        <w:rPr>
          <w:rFonts w:ascii="Arial"/>
          <w:w w:val="85"/>
          <w:sz w:val="28"/>
        </w:rPr>
        <w:t>best</w:t>
      </w:r>
      <w:r>
        <w:rPr>
          <w:rFonts w:ascii="Arial"/>
          <w:spacing w:val="-34"/>
          <w:w w:val="85"/>
          <w:sz w:val="28"/>
        </w:rPr>
        <w:t> </w:t>
      </w:r>
      <w:r>
        <w:rPr>
          <w:rFonts w:ascii="Arial"/>
          <w:w w:val="85"/>
          <w:sz w:val="28"/>
        </w:rPr>
        <w:t>practice</w:t>
      </w:r>
      <w:r>
        <w:rPr>
          <w:rFonts w:ascii="Arial"/>
          <w:spacing w:val="-34"/>
          <w:w w:val="85"/>
          <w:sz w:val="28"/>
        </w:rPr>
        <w:t> </w:t>
      </w:r>
      <w:r>
        <w:rPr>
          <w:rFonts w:ascii="Arial"/>
          <w:w w:val="85"/>
          <w:sz w:val="28"/>
        </w:rPr>
        <w:t>for</w:t>
      </w:r>
      <w:r>
        <w:rPr>
          <w:rFonts w:ascii="Arial"/>
          <w:spacing w:val="-34"/>
          <w:w w:val="85"/>
          <w:sz w:val="28"/>
        </w:rPr>
        <w:t> </w:t>
      </w:r>
      <w:r>
        <w:rPr>
          <w:rFonts w:ascii="Arial"/>
          <w:w w:val="85"/>
          <w:sz w:val="28"/>
        </w:rPr>
        <w:t>initiatives related</w:t>
      </w:r>
      <w:r>
        <w:rPr>
          <w:rFonts w:ascii="Arial"/>
          <w:spacing w:val="-32"/>
          <w:w w:val="85"/>
          <w:sz w:val="28"/>
        </w:rPr>
        <w:t> </w:t>
      </w:r>
      <w:r>
        <w:rPr>
          <w:rFonts w:ascii="Arial"/>
          <w:w w:val="85"/>
          <w:sz w:val="28"/>
        </w:rPr>
        <w:t>to</w:t>
      </w:r>
      <w:r>
        <w:rPr>
          <w:rFonts w:ascii="Arial"/>
          <w:spacing w:val="-32"/>
          <w:w w:val="85"/>
          <w:sz w:val="28"/>
        </w:rPr>
        <w:t> </w:t>
      </w:r>
      <w:r>
        <w:rPr>
          <w:rFonts w:ascii="Arial"/>
          <w:w w:val="85"/>
          <w:sz w:val="28"/>
        </w:rPr>
        <w:t>the</w:t>
      </w:r>
      <w:r>
        <w:rPr>
          <w:rFonts w:ascii="Arial"/>
          <w:spacing w:val="-31"/>
          <w:w w:val="85"/>
          <w:sz w:val="28"/>
        </w:rPr>
        <w:t> </w:t>
      </w:r>
      <w:r>
        <w:rPr>
          <w:rFonts w:ascii="Arial"/>
          <w:w w:val="85"/>
          <w:sz w:val="28"/>
        </w:rPr>
        <w:t>safe</w:t>
      </w:r>
      <w:r>
        <w:rPr>
          <w:rFonts w:ascii="Arial"/>
          <w:spacing w:val="-32"/>
          <w:w w:val="85"/>
          <w:sz w:val="28"/>
        </w:rPr>
        <w:t> </w:t>
      </w:r>
      <w:r>
        <w:rPr>
          <w:rFonts w:ascii="Arial"/>
          <w:w w:val="85"/>
          <w:sz w:val="28"/>
        </w:rPr>
        <w:t>management </w:t>
      </w:r>
      <w:r>
        <w:rPr>
          <w:rFonts w:ascii="Arial"/>
          <w:w w:val="90"/>
          <w:sz w:val="28"/>
        </w:rPr>
        <w:t>of</w:t>
      </w:r>
      <w:r>
        <w:rPr>
          <w:rFonts w:ascii="Arial"/>
          <w:spacing w:val="-43"/>
          <w:w w:val="90"/>
          <w:sz w:val="28"/>
        </w:rPr>
        <w:t> </w:t>
      </w:r>
      <w:r>
        <w:rPr>
          <w:rFonts w:ascii="Arial"/>
          <w:w w:val="90"/>
          <w:sz w:val="28"/>
        </w:rPr>
        <w:t>asbestos</w:t>
      </w:r>
      <w:r>
        <w:rPr>
          <w:rFonts w:ascii="Arial"/>
          <w:spacing w:val="-43"/>
          <w:w w:val="90"/>
          <w:sz w:val="28"/>
        </w:rPr>
        <w:t> </w:t>
      </w:r>
      <w:r>
        <w:rPr>
          <w:rFonts w:ascii="Arial"/>
          <w:w w:val="90"/>
          <w:sz w:val="28"/>
        </w:rPr>
        <w:t>such</w:t>
      </w:r>
      <w:r>
        <w:rPr>
          <w:rFonts w:ascii="Arial"/>
          <w:spacing w:val="-43"/>
          <w:w w:val="90"/>
          <w:sz w:val="28"/>
        </w:rPr>
        <w:t> </w:t>
      </w:r>
      <w:r>
        <w:rPr>
          <w:rFonts w:ascii="Arial"/>
          <w:w w:val="90"/>
          <w:sz w:val="28"/>
        </w:rPr>
        <w:t>as</w:t>
      </w:r>
      <w:r>
        <w:rPr>
          <w:rFonts w:ascii="Arial"/>
          <w:spacing w:val="-43"/>
          <w:w w:val="90"/>
          <w:sz w:val="28"/>
        </w:rPr>
        <w:t> </w:t>
      </w:r>
      <w:r>
        <w:rPr>
          <w:rFonts w:ascii="Arial"/>
          <w:w w:val="90"/>
          <w:sz w:val="28"/>
        </w:rPr>
        <w:t>licensing, education, training and home </w:t>
      </w:r>
      <w:r>
        <w:rPr>
          <w:rFonts w:ascii="Arial"/>
          <w:w w:val="80"/>
          <w:sz w:val="28"/>
        </w:rPr>
        <w:t>renovations where ACMs may</w:t>
      </w:r>
      <w:r>
        <w:rPr>
          <w:rFonts w:ascii="Arial"/>
          <w:spacing w:val="-20"/>
          <w:w w:val="80"/>
          <w:sz w:val="28"/>
        </w:rPr>
        <w:t> </w:t>
      </w:r>
      <w:r>
        <w:rPr>
          <w:rFonts w:ascii="Arial"/>
          <w:w w:val="80"/>
          <w:sz w:val="28"/>
        </w:rPr>
        <w:t>be </w:t>
      </w:r>
      <w:r>
        <w:rPr>
          <w:rFonts w:ascii="Arial"/>
          <w:w w:val="90"/>
          <w:sz w:val="28"/>
        </w:rPr>
        <w:t>present</w:t>
      </w:r>
    </w:p>
    <w:p>
      <w:pPr>
        <w:spacing w:line="268" w:lineRule="auto" w:before="126"/>
        <w:ind w:left="1700" w:right="2359" w:firstLine="0"/>
        <w:jc w:val="left"/>
        <w:rPr>
          <w:rFonts w:ascii="Arial"/>
          <w:sz w:val="28"/>
        </w:rPr>
      </w:pPr>
      <w:r>
        <w:rPr>
          <w:rFonts w:ascii="Arial"/>
          <w:color w:val="00C0F3"/>
          <w:w w:val="80"/>
          <w:sz w:val="28"/>
        </w:rPr>
        <w:t>Location: </w:t>
      </w:r>
      <w:r>
        <w:rPr>
          <w:rFonts w:ascii="Arial"/>
          <w:w w:val="85"/>
          <w:sz w:val="28"/>
        </w:rPr>
        <w:t>NSW</w:t>
      </w:r>
    </w:p>
    <w:p>
      <w:pPr>
        <w:pStyle w:val="BodyText"/>
        <w:rPr>
          <w:rFonts w:ascii="Arial"/>
          <w:sz w:val="32"/>
        </w:rPr>
      </w:pPr>
      <w:r>
        <w:rPr/>
        <w:br w:type="column"/>
      </w:r>
      <w:r>
        <w:rPr>
          <w:rFonts w:ascii="Arial"/>
          <w:sz w:val="32"/>
        </w:rPr>
      </w:r>
    </w:p>
    <w:p>
      <w:pPr>
        <w:pStyle w:val="BodyText"/>
        <w:rPr>
          <w:rFonts w:ascii="Arial"/>
          <w:sz w:val="32"/>
        </w:rPr>
      </w:pPr>
    </w:p>
    <w:p>
      <w:pPr>
        <w:pStyle w:val="BodyText"/>
        <w:spacing w:before="2"/>
        <w:rPr>
          <w:rFonts w:ascii="Arial"/>
          <w:sz w:val="39"/>
        </w:rPr>
      </w:pPr>
    </w:p>
    <w:p>
      <w:pPr>
        <w:spacing w:before="0"/>
        <w:ind w:left="1151" w:right="0" w:firstLine="0"/>
        <w:jc w:val="left"/>
        <w:rPr>
          <w:rFonts w:ascii="Arial"/>
          <w:sz w:val="28"/>
        </w:rPr>
      </w:pPr>
      <w:r>
        <w:rPr>
          <w:rFonts w:ascii="Arial"/>
          <w:w w:val="90"/>
          <w:sz w:val="28"/>
        </w:rPr>
        <w:t>The issue</w:t>
      </w:r>
    </w:p>
    <w:p>
      <w:pPr>
        <w:pStyle w:val="BodyText"/>
        <w:spacing w:line="283" w:lineRule="auto" w:before="159"/>
        <w:ind w:left="1150" w:right="238"/>
      </w:pPr>
      <w:r>
        <w:rPr/>
        <w:t>Naturally occurring asbestos (NOA) occurs within ten metres of the ground surface in as much as one per cent of </w:t>
      </w:r>
      <w:r>
        <w:rPr>
          <w:spacing w:val="-3"/>
        </w:rPr>
        <w:t>NSW. </w:t>
      </w:r>
      <w:r>
        <w:rPr/>
        <w:t>While one per cent may not seem to be significant, it does </w:t>
      </w:r>
      <w:r>
        <w:rPr>
          <w:spacing w:val="2"/>
        </w:rPr>
        <w:t>affect </w:t>
      </w:r>
      <w:r>
        <w:rPr/>
        <w:t>the local government areas of</w:t>
      </w:r>
      <w:r>
        <w:rPr>
          <w:spacing w:val="-22"/>
        </w:rPr>
        <w:t> </w:t>
      </w:r>
      <w:r>
        <w:rPr/>
        <w:t>thirty-seven</w:t>
      </w:r>
      <w:r>
        <w:rPr>
          <w:spacing w:val="-22"/>
        </w:rPr>
        <w:t> </w:t>
      </w:r>
      <w:r>
        <w:rPr/>
        <w:t>NSW</w:t>
      </w:r>
      <w:r>
        <w:rPr>
          <w:spacing w:val="-22"/>
        </w:rPr>
        <w:t> </w:t>
      </w:r>
      <w:r>
        <w:rPr/>
        <w:t>councils.</w:t>
      </w:r>
      <w:r>
        <w:rPr>
          <w:spacing w:val="-22"/>
        </w:rPr>
        <w:t> </w:t>
      </w:r>
      <w:r>
        <w:rPr/>
        <w:t>Workers,</w:t>
      </w:r>
      <w:r>
        <w:rPr>
          <w:spacing w:val="-22"/>
        </w:rPr>
        <w:t> </w:t>
      </w:r>
      <w:r>
        <w:rPr/>
        <w:t>families</w:t>
      </w:r>
      <w:r>
        <w:rPr>
          <w:spacing w:val="-22"/>
        </w:rPr>
        <w:t> </w:t>
      </w:r>
      <w:r>
        <w:rPr/>
        <w:t>and</w:t>
      </w:r>
      <w:r>
        <w:rPr>
          <w:spacing w:val="-22"/>
        </w:rPr>
        <w:t> </w:t>
      </w:r>
      <w:r>
        <w:rPr/>
        <w:t>the community</w:t>
      </w:r>
      <w:r>
        <w:rPr>
          <w:spacing w:val="-10"/>
        </w:rPr>
        <w:t> </w:t>
      </w:r>
      <w:r>
        <w:rPr/>
        <w:t>are</w:t>
      </w:r>
      <w:r>
        <w:rPr>
          <w:spacing w:val="-10"/>
        </w:rPr>
        <w:t> </w:t>
      </w:r>
      <w:r>
        <w:rPr/>
        <w:t>put</w:t>
      </w:r>
      <w:r>
        <w:rPr>
          <w:spacing w:val="-10"/>
        </w:rPr>
        <w:t> </w:t>
      </w:r>
      <w:r>
        <w:rPr/>
        <w:t>at</w:t>
      </w:r>
      <w:r>
        <w:rPr>
          <w:spacing w:val="-10"/>
        </w:rPr>
        <w:t> </w:t>
      </w:r>
      <w:r>
        <w:rPr/>
        <w:t>risk</w:t>
      </w:r>
      <w:r>
        <w:rPr>
          <w:spacing w:val="-10"/>
        </w:rPr>
        <w:t> </w:t>
      </w:r>
      <w:r>
        <w:rPr/>
        <w:t>of</w:t>
      </w:r>
      <w:r>
        <w:rPr>
          <w:spacing w:val="-10"/>
        </w:rPr>
        <w:t> </w:t>
      </w:r>
      <w:r>
        <w:rPr/>
        <w:t>asbestos</w:t>
      </w:r>
      <w:r>
        <w:rPr>
          <w:spacing w:val="-10"/>
        </w:rPr>
        <w:t> </w:t>
      </w:r>
      <w:r>
        <w:rPr/>
        <w:t>exposure</w:t>
      </w:r>
      <w:r>
        <w:rPr>
          <w:spacing w:val="-10"/>
        </w:rPr>
        <w:t> </w:t>
      </w:r>
      <w:r>
        <w:rPr/>
        <w:t>when</w:t>
      </w:r>
    </w:p>
    <w:p>
      <w:pPr>
        <w:pStyle w:val="BodyText"/>
        <w:spacing w:line="283" w:lineRule="auto" w:before="3"/>
        <w:ind w:left="1150" w:right="33"/>
      </w:pPr>
      <w:r>
        <w:rPr/>
        <w:t>undertaking excavation for homes, pools or landscaping and roadworks. Property owners and managers are legally required under the NSW Work Health and Safety Regulations 2011 to develop an Asbestos Management Plan that addresses these risks to ensure NOA is safely managed. However councils had very little guidance material available for the business owners and residents who are affected by NOA.</w:t>
      </w:r>
    </w:p>
    <w:p>
      <w:pPr>
        <w:pStyle w:val="Heading1"/>
        <w:spacing w:before="145"/>
        <w:ind w:left="1150"/>
      </w:pPr>
      <w:r>
        <w:rPr>
          <w:w w:val="90"/>
        </w:rPr>
        <w:t>Action taken</w:t>
      </w:r>
    </w:p>
    <w:p>
      <w:pPr>
        <w:pStyle w:val="BodyText"/>
        <w:spacing w:line="283" w:lineRule="auto" w:before="160"/>
        <w:ind w:left="1150"/>
      </w:pPr>
      <w:r>
        <w:rPr/>
        <w:t>The Heads of Asbestos Coordination Authorities (HACA) developed a suite of guidance material to provide residents in regional NSW (where NOA occurs) with the tools</w:t>
      </w:r>
      <w:r>
        <w:rPr>
          <w:spacing w:val="-9"/>
        </w:rPr>
        <w:t> </w:t>
      </w:r>
      <w:r>
        <w:rPr/>
        <w:t>and</w:t>
      </w:r>
      <w:r>
        <w:rPr>
          <w:spacing w:val="-8"/>
        </w:rPr>
        <w:t> </w:t>
      </w:r>
      <w:r>
        <w:rPr/>
        <w:t>knowledge</w:t>
      </w:r>
      <w:r>
        <w:rPr>
          <w:spacing w:val="-8"/>
        </w:rPr>
        <w:t> </w:t>
      </w:r>
      <w:r>
        <w:rPr/>
        <w:t>required</w:t>
      </w:r>
      <w:r>
        <w:rPr>
          <w:spacing w:val="-8"/>
        </w:rPr>
        <w:t> </w:t>
      </w:r>
      <w:r>
        <w:rPr/>
        <w:t>to</w:t>
      </w:r>
      <w:r>
        <w:rPr>
          <w:spacing w:val="-8"/>
        </w:rPr>
        <w:t> </w:t>
      </w:r>
      <w:r>
        <w:rPr/>
        <w:t>manage</w:t>
      </w:r>
      <w:r>
        <w:rPr>
          <w:spacing w:val="-8"/>
        </w:rPr>
        <w:t> </w:t>
      </w:r>
      <w:r>
        <w:rPr/>
        <w:t>NOA</w:t>
      </w:r>
      <w:r>
        <w:rPr>
          <w:spacing w:val="-8"/>
        </w:rPr>
        <w:t> </w:t>
      </w:r>
      <w:r>
        <w:rPr/>
        <w:t>safely</w:t>
      </w:r>
      <w:r>
        <w:rPr>
          <w:spacing w:val="-8"/>
        </w:rPr>
        <w:t> </w:t>
      </w:r>
      <w:r>
        <w:rPr/>
        <w:t>and in accordance with Regulations. The guidance material includes:</w:t>
      </w:r>
    </w:p>
    <w:p>
      <w:pPr>
        <w:pStyle w:val="BodyText"/>
        <w:spacing w:line="424" w:lineRule="auto" w:before="134"/>
        <w:ind w:left="1150" w:right="563"/>
        <w:jc w:val="both"/>
      </w:pPr>
      <w:r>
        <w:rPr>
          <w:position w:val="-3"/>
        </w:rPr>
        <w:drawing>
          <wp:inline distT="0" distB="0" distL="0" distR="0">
            <wp:extent cx="71843" cy="1114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20"/>
          <w:sz w:val="20"/>
        </w:rPr>
        <w:t> </w:t>
      </w:r>
      <w:r>
        <w:rPr/>
        <w:t>NOA</w:t>
      </w:r>
      <w:r>
        <w:rPr>
          <w:spacing w:val="-18"/>
        </w:rPr>
        <w:t> </w:t>
      </w:r>
      <w:r>
        <w:rPr/>
        <w:t>Asbestos</w:t>
      </w:r>
      <w:r>
        <w:rPr>
          <w:spacing w:val="-17"/>
        </w:rPr>
        <w:t> </w:t>
      </w:r>
      <w:r>
        <w:rPr/>
        <w:t>Management</w:t>
      </w:r>
      <w:r>
        <w:rPr>
          <w:spacing w:val="-18"/>
        </w:rPr>
        <w:t> </w:t>
      </w:r>
      <w:r>
        <w:rPr/>
        <w:t>Plan</w:t>
      </w:r>
      <w:r>
        <w:rPr>
          <w:spacing w:val="-17"/>
        </w:rPr>
        <w:t> </w:t>
      </w:r>
      <w:r>
        <w:rPr/>
        <w:t>(AMP)</w:t>
      </w:r>
      <w:r>
        <w:rPr>
          <w:spacing w:val="-18"/>
        </w:rPr>
        <w:t> </w:t>
      </w:r>
      <w:r>
        <w:rPr/>
        <w:t>Guide</w:t>
      </w:r>
      <w:r>
        <w:rPr>
          <w:w w:val="97"/>
        </w:rPr>
        <w:t> </w:t>
      </w:r>
      <w:r>
        <w:rPr>
          <w:w w:val="97"/>
          <w:position w:val="-3"/>
        </w:rPr>
        <w:drawing>
          <wp:inline distT="0" distB="0" distL="0" distR="0">
            <wp:extent cx="71843" cy="111455"/>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71843" cy="111455"/>
                    </a:xfrm>
                    <a:prstGeom prst="rect">
                      <a:avLst/>
                    </a:prstGeom>
                  </pic:spPr>
                </pic:pic>
              </a:graphicData>
            </a:graphic>
          </wp:inline>
        </w:drawing>
      </w:r>
      <w:r>
        <w:rPr>
          <w:w w:val="97"/>
          <w:position w:val="-3"/>
        </w:rPr>
      </w:r>
      <w:r>
        <w:rPr>
          <w:rFonts w:ascii="Times New Roman" w:hAnsi="Times New Roman"/>
          <w:w w:val="97"/>
        </w:rPr>
        <w:t>   </w:t>
      </w:r>
      <w:r>
        <w:rPr>
          <w:rFonts w:ascii="Times New Roman" w:hAnsi="Times New Roman"/>
          <w:spacing w:val="-6"/>
          <w:w w:val="97"/>
        </w:rPr>
        <w:t> </w:t>
      </w:r>
      <w:r>
        <w:rPr/>
        <w:t>NOA</w:t>
      </w:r>
      <w:r>
        <w:rPr>
          <w:spacing w:val="-19"/>
        </w:rPr>
        <w:t> </w:t>
      </w:r>
      <w:r>
        <w:rPr/>
        <w:t>AMP</w:t>
      </w:r>
      <w:r>
        <w:rPr>
          <w:spacing w:val="-18"/>
        </w:rPr>
        <w:t> </w:t>
      </w:r>
      <w:r>
        <w:rPr/>
        <w:t>Property</w:t>
      </w:r>
      <w:r>
        <w:rPr>
          <w:spacing w:val="-18"/>
        </w:rPr>
        <w:t> </w:t>
      </w:r>
      <w:r>
        <w:rPr/>
        <w:t>Risk</w:t>
      </w:r>
      <w:r>
        <w:rPr>
          <w:spacing w:val="-18"/>
        </w:rPr>
        <w:t> </w:t>
      </w:r>
      <w:r>
        <w:rPr/>
        <w:t>Assessment</w:t>
      </w:r>
      <w:r>
        <w:rPr>
          <w:spacing w:val="-18"/>
        </w:rPr>
        <w:t> </w:t>
      </w:r>
      <w:r>
        <w:rPr>
          <w:spacing w:val="-3"/>
        </w:rPr>
        <w:t>Template</w:t>
      </w:r>
      <w:r>
        <w:rPr>
          <w:w w:val="97"/>
        </w:rPr>
        <w:t> </w:t>
      </w:r>
      <w:r>
        <w:rPr>
          <w:w w:val="97"/>
          <w:position w:val="-3"/>
        </w:rPr>
        <w:drawing>
          <wp:inline distT="0" distB="0" distL="0" distR="0">
            <wp:extent cx="71843" cy="111455"/>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71843" cy="111455"/>
                    </a:xfrm>
                    <a:prstGeom prst="rect">
                      <a:avLst/>
                    </a:prstGeom>
                  </pic:spPr>
                </pic:pic>
              </a:graphicData>
            </a:graphic>
          </wp:inline>
        </w:drawing>
      </w:r>
      <w:r>
        <w:rPr>
          <w:w w:val="97"/>
          <w:position w:val="-3"/>
        </w:rPr>
      </w:r>
      <w:r>
        <w:rPr>
          <w:rFonts w:ascii="Times New Roman" w:hAnsi="Times New Roman"/>
          <w:w w:val="97"/>
        </w:rPr>
        <w:t>   </w:t>
      </w:r>
      <w:r>
        <w:rPr>
          <w:rFonts w:ascii="Times New Roman" w:hAnsi="Times New Roman"/>
          <w:spacing w:val="-6"/>
          <w:w w:val="97"/>
        </w:rPr>
        <w:t> </w:t>
      </w:r>
      <w:r>
        <w:rPr/>
        <w:t>NOA AMP – Site Specific</w:t>
      </w:r>
      <w:r>
        <w:rPr>
          <w:spacing w:val="-18"/>
        </w:rPr>
        <w:t> </w:t>
      </w:r>
      <w:r>
        <w:rPr>
          <w:spacing w:val="-3"/>
        </w:rPr>
        <w:t>Template</w:t>
      </w:r>
    </w:p>
    <w:p>
      <w:pPr>
        <w:pStyle w:val="BodyText"/>
        <w:spacing w:before="3"/>
        <w:ind w:left="1150"/>
      </w:pPr>
      <w:r>
        <w:rPr>
          <w:position w:val="-3"/>
        </w:rPr>
        <w:drawing>
          <wp:inline distT="0" distB="0" distL="0" distR="0">
            <wp:extent cx="71843" cy="111455"/>
            <wp:effectExtent l="0" t="0" r="0" b="0"/>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NOA Incident Procedures and Report</w:t>
      </w:r>
      <w:r>
        <w:rPr>
          <w:spacing w:val="-26"/>
        </w:rPr>
        <w:t> </w:t>
      </w:r>
      <w:r>
        <w:rPr>
          <w:spacing w:val="-3"/>
        </w:rPr>
        <w:t>Template</w:t>
      </w:r>
    </w:p>
    <w:p>
      <w:pPr>
        <w:pStyle w:val="BodyText"/>
        <w:spacing w:line="283" w:lineRule="auto" w:before="171"/>
        <w:ind w:left="1434" w:right="335" w:hanging="284"/>
      </w:pPr>
      <w:r>
        <w:rPr>
          <w:position w:val="-3"/>
        </w:rPr>
        <w:drawing>
          <wp:inline distT="0" distB="0" distL="0" distR="0">
            <wp:extent cx="71843" cy="111455"/>
            <wp:effectExtent l="0" t="0" r="0" b="0"/>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NOA</w:t>
      </w:r>
      <w:r>
        <w:rPr>
          <w:spacing w:val="-24"/>
        </w:rPr>
        <w:t> </w:t>
      </w:r>
      <w:r>
        <w:rPr/>
        <w:t>Workers</w:t>
      </w:r>
      <w:r>
        <w:rPr>
          <w:spacing w:val="-23"/>
        </w:rPr>
        <w:t> </w:t>
      </w:r>
      <w:r>
        <w:rPr/>
        <w:t>Training</w:t>
      </w:r>
      <w:r>
        <w:rPr>
          <w:spacing w:val="-23"/>
        </w:rPr>
        <w:t> </w:t>
      </w:r>
      <w:r>
        <w:rPr/>
        <w:t>Requirements</w:t>
      </w:r>
      <w:r>
        <w:rPr>
          <w:spacing w:val="-24"/>
        </w:rPr>
        <w:t> </w:t>
      </w:r>
      <w:r>
        <w:rPr/>
        <w:t>and</w:t>
      </w:r>
      <w:r>
        <w:rPr>
          <w:spacing w:val="-23"/>
        </w:rPr>
        <w:t> </w:t>
      </w:r>
      <w:r>
        <w:rPr/>
        <w:t>Records </w:t>
      </w:r>
      <w:r>
        <w:rPr>
          <w:spacing w:val="-3"/>
        </w:rPr>
        <w:t>Template</w:t>
      </w:r>
    </w:p>
    <w:p>
      <w:pPr>
        <w:pStyle w:val="BodyText"/>
        <w:spacing w:line="283" w:lineRule="auto" w:before="131"/>
        <w:ind w:left="1434" w:right="126" w:hanging="284"/>
      </w:pPr>
      <w:r>
        <w:rPr>
          <w:position w:val="-3"/>
        </w:rPr>
        <w:drawing>
          <wp:inline distT="0" distB="0" distL="0" distR="0">
            <wp:extent cx="71843" cy="111455"/>
            <wp:effectExtent l="0" t="0" r="0" b="0"/>
            <wp:docPr id="11" name="image2.png" descr=""/>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NOA</w:t>
      </w:r>
      <w:r>
        <w:rPr>
          <w:spacing w:val="-21"/>
        </w:rPr>
        <w:t> </w:t>
      </w:r>
      <w:r>
        <w:rPr/>
        <w:t>Respiratory</w:t>
      </w:r>
      <w:r>
        <w:rPr>
          <w:spacing w:val="-21"/>
        </w:rPr>
        <w:t> </w:t>
      </w:r>
      <w:r>
        <w:rPr/>
        <w:t>Protective</w:t>
      </w:r>
      <w:r>
        <w:rPr>
          <w:spacing w:val="-20"/>
        </w:rPr>
        <w:t> </w:t>
      </w:r>
      <w:r>
        <w:rPr/>
        <w:t>Equipment</w:t>
      </w:r>
      <w:r>
        <w:rPr>
          <w:spacing w:val="-21"/>
        </w:rPr>
        <w:t> </w:t>
      </w:r>
      <w:r>
        <w:rPr/>
        <w:t>and</w:t>
      </w:r>
      <w:r>
        <w:rPr>
          <w:spacing w:val="-20"/>
        </w:rPr>
        <w:t> </w:t>
      </w:r>
      <w:r>
        <w:rPr/>
        <w:t>Personal Protective Equipment</w:t>
      </w:r>
      <w:r>
        <w:rPr>
          <w:spacing w:val="-7"/>
        </w:rPr>
        <w:t> </w:t>
      </w:r>
      <w:r>
        <w:rPr/>
        <w:t>factsheet</w:t>
      </w:r>
    </w:p>
    <w:p>
      <w:pPr>
        <w:pStyle w:val="BodyText"/>
        <w:spacing w:before="131"/>
        <w:ind w:left="1150"/>
      </w:pPr>
      <w:r>
        <w:rPr>
          <w:position w:val="-3"/>
        </w:rPr>
        <w:drawing>
          <wp:inline distT="0" distB="0" distL="0" distR="0">
            <wp:extent cx="71843" cy="111455"/>
            <wp:effectExtent l="0" t="0" r="0" b="0"/>
            <wp:docPr id="13" name="image2.png" descr=""/>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NOA Decontamination Fact</w:t>
      </w:r>
      <w:r>
        <w:rPr>
          <w:spacing w:val="-10"/>
        </w:rPr>
        <w:t> </w:t>
      </w:r>
      <w:r>
        <w:rPr/>
        <w:t>Sheet.</w:t>
      </w:r>
    </w:p>
    <w:p>
      <w:pPr>
        <w:pStyle w:val="BodyText"/>
        <w:spacing w:line="283" w:lineRule="auto" w:before="171"/>
        <w:ind w:left="1150" w:right="63"/>
      </w:pPr>
      <w:r>
        <w:rPr/>
        <w:t>A media event was held in Orange on </w:t>
      </w:r>
      <w:r>
        <w:rPr>
          <w:spacing w:val="-5"/>
        </w:rPr>
        <w:t>16 </w:t>
      </w:r>
      <w:r>
        <w:rPr/>
        <w:t>October </w:t>
      </w:r>
      <w:r>
        <w:rPr>
          <w:spacing w:val="-7"/>
        </w:rPr>
        <w:t>2017 </w:t>
      </w:r>
      <w:r>
        <w:rPr/>
        <w:t>to launch the material. Orange is one of the regions where NOA exists. The launch had a great turn out with media in attendance, council representatives from four regional councils, students from the local </w:t>
      </w:r>
      <w:r>
        <w:rPr>
          <w:spacing w:val="-4"/>
        </w:rPr>
        <w:t>TAFE </w:t>
      </w:r>
      <w:r>
        <w:rPr/>
        <w:t>and local tradespeople.</w:t>
      </w:r>
    </w:p>
    <w:p>
      <w:pPr>
        <w:pStyle w:val="BodyText"/>
        <w:spacing w:line="283" w:lineRule="auto" w:before="100"/>
        <w:ind w:left="1700" w:right="-1"/>
      </w:pPr>
      <w:r>
        <w:rPr/>
        <w:br w:type="column"/>
      </w:r>
      <w:r>
        <w:rPr/>
        <w:t>Flyers and posters were also developed to help promote and encourage uptake and use of the guidance material (Figure </w:t>
      </w:r>
      <w:r>
        <w:rPr>
          <w:spacing w:val="-5"/>
        </w:rPr>
        <w:t>18). </w:t>
      </w:r>
      <w:r>
        <w:rPr/>
        <w:t>Copies of the flyers, posters,</w:t>
      </w:r>
      <w:r>
        <w:rPr>
          <w:spacing w:val="-16"/>
        </w:rPr>
        <w:t> </w:t>
      </w:r>
      <w:r>
        <w:rPr/>
        <w:t>the</w:t>
      </w:r>
      <w:r>
        <w:rPr>
          <w:spacing w:val="-15"/>
        </w:rPr>
        <w:t> </w:t>
      </w:r>
      <w:r>
        <w:rPr/>
        <w:t>NOA</w:t>
      </w:r>
      <w:r>
        <w:rPr>
          <w:spacing w:val="-15"/>
        </w:rPr>
        <w:t> </w:t>
      </w:r>
      <w:r>
        <w:rPr/>
        <w:t>AMP</w:t>
      </w:r>
      <w:r>
        <w:rPr>
          <w:spacing w:val="-15"/>
        </w:rPr>
        <w:t> </w:t>
      </w:r>
      <w:r>
        <w:rPr/>
        <w:t>guide,</w:t>
      </w:r>
      <w:r>
        <w:rPr>
          <w:spacing w:val="-15"/>
        </w:rPr>
        <w:t> </w:t>
      </w:r>
      <w:r>
        <w:rPr/>
        <w:t>factsheets</w:t>
      </w:r>
      <w:r>
        <w:rPr>
          <w:spacing w:val="-15"/>
        </w:rPr>
        <w:t> </w:t>
      </w:r>
      <w:r>
        <w:rPr/>
        <w:t>and</w:t>
      </w:r>
      <w:r>
        <w:rPr>
          <w:spacing w:val="-15"/>
        </w:rPr>
        <w:t> </w:t>
      </w:r>
      <w:r>
        <w:rPr/>
        <w:t>templates were also distributed to all NSW councils affected by NOA.</w:t>
      </w:r>
    </w:p>
    <w:p>
      <w:pPr>
        <w:pStyle w:val="Heading1"/>
        <w:spacing w:before="144"/>
      </w:pPr>
      <w:r>
        <w:rPr/>
        <w:pict>
          <v:group style="position:absolute;margin-left:0pt;margin-top:-75.918587pt;width:595.3pt;height:38.35pt;mso-position-horizontal-relative:page;mso-position-vertical-relative:paragraph;z-index:1096" coordorigin="0,-1518" coordsize="11906,767">
            <v:rect style="position:absolute;left:0;top:-1519;width:11906;height:767" filled="true" fillcolor="#00c0f3" stroked="false">
              <v:fill type="solid"/>
            </v:rect>
            <v:shapetype id="_x0000_t202" o:spt="202" coordsize="21600,21600" path="m,l,21600r21600,l21600,xe">
              <v:stroke joinstyle="miter"/>
              <v:path gradientshapeok="t" o:connecttype="rect"/>
            </v:shapetype>
            <v:shape style="position:absolute;left:0;top:-1519;width:11906;height:767" type="#_x0000_t202" filled="false" stroked="false">
              <v:textbox inset="0,0,0,0">
                <w:txbxContent>
                  <w:p>
                    <w:pPr>
                      <w:spacing w:before="214"/>
                      <w:ind w:left="1700" w:right="0" w:firstLine="0"/>
                      <w:jc w:val="left"/>
                      <w:rPr>
                        <w:rFonts w:ascii="Arial" w:hAnsi="Arial"/>
                        <w:sz w:val="28"/>
                      </w:rPr>
                    </w:pPr>
                    <w:r>
                      <w:rPr>
                        <w:rFonts w:ascii="Arial" w:hAnsi="Arial"/>
                        <w:color w:val="FFFFFF"/>
                        <w:w w:val="90"/>
                        <w:sz w:val="28"/>
                      </w:rPr>
                      <w:t>SafeWork NSW – Naturally occurring asbestos guidance material</w:t>
                    </w:r>
                  </w:p>
                </w:txbxContent>
              </v:textbox>
              <w10:wrap type="none"/>
            </v:shape>
            <w10:wrap type="none"/>
          </v:group>
        </w:pict>
      </w:r>
      <w:r>
        <w:rPr>
          <w:w w:val="90"/>
        </w:rPr>
        <w:t>Results</w:t>
      </w:r>
    </w:p>
    <w:p>
      <w:pPr>
        <w:pStyle w:val="BodyText"/>
        <w:spacing w:line="283" w:lineRule="auto" w:before="159"/>
        <w:ind w:left="1700" w:right="-1"/>
      </w:pPr>
      <w:r>
        <w:rPr/>
        <w:t>The</w:t>
      </w:r>
      <w:r>
        <w:rPr>
          <w:spacing w:val="-12"/>
        </w:rPr>
        <w:t> </w:t>
      </w:r>
      <w:r>
        <w:rPr/>
        <w:t>media</w:t>
      </w:r>
      <w:r>
        <w:rPr>
          <w:spacing w:val="-11"/>
        </w:rPr>
        <w:t> </w:t>
      </w:r>
      <w:r>
        <w:rPr/>
        <w:t>event</w:t>
      </w:r>
      <w:r>
        <w:rPr>
          <w:spacing w:val="-11"/>
        </w:rPr>
        <w:t> </w:t>
      </w:r>
      <w:r>
        <w:rPr/>
        <w:t>was</w:t>
      </w:r>
      <w:r>
        <w:rPr>
          <w:spacing w:val="-12"/>
        </w:rPr>
        <w:t> </w:t>
      </w:r>
      <w:r>
        <w:rPr/>
        <w:t>well</w:t>
      </w:r>
      <w:r>
        <w:rPr>
          <w:spacing w:val="-11"/>
        </w:rPr>
        <w:t> </w:t>
      </w:r>
      <w:r>
        <w:rPr/>
        <w:t>covered</w:t>
      </w:r>
      <w:r>
        <w:rPr>
          <w:spacing w:val="-11"/>
        </w:rPr>
        <w:t> </w:t>
      </w:r>
      <w:r>
        <w:rPr/>
        <w:t>by</w:t>
      </w:r>
      <w:r>
        <w:rPr>
          <w:spacing w:val="-11"/>
        </w:rPr>
        <w:t> </w:t>
      </w:r>
      <w:r>
        <w:rPr/>
        <w:t>several</w:t>
      </w:r>
      <w:r>
        <w:rPr>
          <w:spacing w:val="-12"/>
        </w:rPr>
        <w:t> </w:t>
      </w:r>
      <w:r>
        <w:rPr/>
        <w:t>targeted rural</w:t>
      </w:r>
      <w:r>
        <w:rPr>
          <w:spacing w:val="-14"/>
        </w:rPr>
        <w:t> </w:t>
      </w:r>
      <w:r>
        <w:rPr/>
        <w:t>and</w:t>
      </w:r>
      <w:r>
        <w:rPr>
          <w:spacing w:val="-14"/>
        </w:rPr>
        <w:t> </w:t>
      </w:r>
      <w:r>
        <w:rPr/>
        <w:t>regional</w:t>
      </w:r>
      <w:r>
        <w:rPr>
          <w:spacing w:val="-13"/>
        </w:rPr>
        <w:t> </w:t>
      </w:r>
      <w:r>
        <w:rPr/>
        <w:t>media</w:t>
      </w:r>
      <w:r>
        <w:rPr>
          <w:spacing w:val="-14"/>
        </w:rPr>
        <w:t> </w:t>
      </w:r>
      <w:r>
        <w:rPr/>
        <w:t>outlets</w:t>
      </w:r>
      <w:r>
        <w:rPr>
          <w:spacing w:val="-13"/>
        </w:rPr>
        <w:t> </w:t>
      </w:r>
      <w:r>
        <w:rPr/>
        <w:t>including</w:t>
      </w:r>
      <w:r>
        <w:rPr>
          <w:spacing w:val="-14"/>
        </w:rPr>
        <w:t> </w:t>
      </w:r>
      <w:r>
        <w:rPr/>
        <w:t>print,</w:t>
      </w:r>
      <w:r>
        <w:rPr>
          <w:spacing w:val="-14"/>
        </w:rPr>
        <w:t> </w:t>
      </w:r>
      <w:r>
        <w:rPr/>
        <w:t>radio, television</w:t>
      </w:r>
      <w:r>
        <w:rPr>
          <w:spacing w:val="-16"/>
        </w:rPr>
        <w:t> </w:t>
      </w:r>
      <w:r>
        <w:rPr/>
        <w:t>and</w:t>
      </w:r>
      <w:r>
        <w:rPr>
          <w:spacing w:val="-15"/>
        </w:rPr>
        <w:t> </w:t>
      </w:r>
      <w:r>
        <w:rPr/>
        <w:t>online.</w:t>
      </w:r>
      <w:r>
        <w:rPr>
          <w:spacing w:val="-15"/>
        </w:rPr>
        <w:t> </w:t>
      </w:r>
      <w:r>
        <w:rPr/>
        <w:t>A</w:t>
      </w:r>
      <w:r>
        <w:rPr>
          <w:spacing w:val="-15"/>
        </w:rPr>
        <w:t> </w:t>
      </w:r>
      <w:r>
        <w:rPr/>
        <w:t>large</w:t>
      </w:r>
      <w:r>
        <w:rPr>
          <w:spacing w:val="-15"/>
        </w:rPr>
        <w:t> </w:t>
      </w:r>
      <w:r>
        <w:rPr/>
        <w:t>number</w:t>
      </w:r>
      <w:r>
        <w:rPr>
          <w:spacing w:val="-15"/>
        </w:rPr>
        <w:t> </w:t>
      </w:r>
      <w:r>
        <w:rPr/>
        <w:t>(3,700)</w:t>
      </w:r>
      <w:r>
        <w:rPr>
          <w:spacing w:val="-15"/>
        </w:rPr>
        <w:t> </w:t>
      </w:r>
      <w:r>
        <w:rPr/>
        <w:t>of</w:t>
      </w:r>
      <w:r>
        <w:rPr>
          <w:spacing w:val="-15"/>
        </w:rPr>
        <w:t> </w:t>
      </w:r>
      <w:r>
        <w:rPr/>
        <w:t>copies of</w:t>
      </w:r>
      <w:r>
        <w:rPr>
          <w:spacing w:val="-10"/>
        </w:rPr>
        <w:t> </w:t>
      </w:r>
      <w:r>
        <w:rPr/>
        <w:t>the</w:t>
      </w:r>
      <w:r>
        <w:rPr>
          <w:spacing w:val="-9"/>
        </w:rPr>
        <w:t> </w:t>
      </w:r>
      <w:r>
        <w:rPr/>
        <w:t>NOA</w:t>
      </w:r>
      <w:r>
        <w:rPr>
          <w:spacing w:val="-9"/>
        </w:rPr>
        <w:t> </w:t>
      </w:r>
      <w:r>
        <w:rPr/>
        <w:t>package</w:t>
      </w:r>
      <w:r>
        <w:rPr>
          <w:spacing w:val="-9"/>
        </w:rPr>
        <w:t> </w:t>
      </w:r>
      <w:r>
        <w:rPr/>
        <w:t>were</w:t>
      </w:r>
      <w:r>
        <w:rPr>
          <w:spacing w:val="-9"/>
        </w:rPr>
        <w:t> </w:t>
      </w:r>
      <w:r>
        <w:rPr/>
        <w:t>printed</w:t>
      </w:r>
      <w:r>
        <w:rPr>
          <w:spacing w:val="-9"/>
        </w:rPr>
        <w:t> </w:t>
      </w:r>
      <w:r>
        <w:rPr/>
        <w:t>and</w:t>
      </w:r>
      <w:r>
        <w:rPr>
          <w:spacing w:val="-9"/>
        </w:rPr>
        <w:t> </w:t>
      </w:r>
      <w:r>
        <w:rPr/>
        <w:t>delivered</w:t>
      </w:r>
      <w:r>
        <w:rPr>
          <w:spacing w:val="-9"/>
        </w:rPr>
        <w:t> </w:t>
      </w:r>
      <w:r>
        <w:rPr/>
        <w:t>to</w:t>
      </w:r>
      <w:r>
        <w:rPr>
          <w:spacing w:val="-9"/>
        </w:rPr>
        <w:t> </w:t>
      </w:r>
      <w:r>
        <w:rPr/>
        <w:t>the 38 councils in areas that contain naturally occurring asbestos. On top of this, 3,588 NOA resources were downloaded</w:t>
      </w:r>
      <w:r>
        <w:rPr>
          <w:spacing w:val="-8"/>
        </w:rPr>
        <w:t> </w:t>
      </w:r>
      <w:r>
        <w:rPr/>
        <w:t>from</w:t>
      </w:r>
      <w:r>
        <w:rPr>
          <w:spacing w:val="-8"/>
        </w:rPr>
        <w:t> </w:t>
      </w:r>
      <w:r>
        <w:rPr/>
        <w:t>the</w:t>
      </w:r>
      <w:r>
        <w:rPr>
          <w:spacing w:val="-8"/>
        </w:rPr>
        <w:t> </w:t>
      </w:r>
      <w:r>
        <w:rPr/>
        <w:t>website</w:t>
      </w:r>
      <w:r>
        <w:rPr>
          <w:spacing w:val="-7"/>
        </w:rPr>
        <w:t> </w:t>
      </w:r>
      <w:r>
        <w:rPr/>
        <w:t>following</w:t>
      </w:r>
      <w:r>
        <w:rPr>
          <w:spacing w:val="-8"/>
        </w:rPr>
        <w:t> </w:t>
      </w:r>
      <w:r>
        <w:rPr/>
        <w:t>the</w:t>
      </w:r>
      <w:r>
        <w:rPr>
          <w:spacing w:val="-8"/>
        </w:rPr>
        <w:t> </w:t>
      </w:r>
      <w:r>
        <w:rPr/>
        <w:t>launch</w:t>
      </w:r>
      <w:r>
        <w:rPr>
          <w:spacing w:val="-8"/>
        </w:rPr>
        <w:t> </w:t>
      </w:r>
      <w:r>
        <w:rPr/>
        <w:t>of the guidance</w:t>
      </w:r>
      <w:r>
        <w:rPr>
          <w:spacing w:val="-6"/>
        </w:rPr>
        <w:t> </w:t>
      </w:r>
      <w:r>
        <w:rPr/>
        <w:t>material.</w:t>
      </w:r>
    </w:p>
    <w:p>
      <w:pPr>
        <w:pStyle w:val="Heading1"/>
        <w:spacing w:before="145"/>
      </w:pPr>
      <w:r>
        <w:rPr>
          <w:w w:val="90"/>
        </w:rPr>
        <w:t>Outcomes</w:t>
      </w:r>
    </w:p>
    <w:p>
      <w:pPr>
        <w:pStyle w:val="BodyText"/>
        <w:spacing w:line="283" w:lineRule="auto" w:before="159"/>
        <w:ind w:left="1700" w:right="-1"/>
      </w:pPr>
      <w:r>
        <w:rPr/>
        <w:t>Feedback from Orange Council where the media launch was held was very positive. Due to the media coverage</w:t>
      </w:r>
      <w:r>
        <w:rPr>
          <w:spacing w:val="-8"/>
        </w:rPr>
        <w:t> </w:t>
      </w:r>
      <w:r>
        <w:rPr/>
        <w:t>it</w:t>
      </w:r>
      <w:r>
        <w:rPr>
          <w:spacing w:val="-7"/>
        </w:rPr>
        <w:t> </w:t>
      </w:r>
      <w:r>
        <w:rPr/>
        <w:t>received,</w:t>
      </w:r>
      <w:r>
        <w:rPr>
          <w:spacing w:val="-8"/>
        </w:rPr>
        <w:t> </w:t>
      </w:r>
      <w:r>
        <w:rPr/>
        <w:t>members</w:t>
      </w:r>
      <w:r>
        <w:rPr>
          <w:spacing w:val="-7"/>
        </w:rPr>
        <w:t> </w:t>
      </w:r>
      <w:r>
        <w:rPr/>
        <w:t>of</w:t>
      </w:r>
      <w:r>
        <w:rPr>
          <w:spacing w:val="-8"/>
        </w:rPr>
        <w:t> </w:t>
      </w:r>
      <w:r>
        <w:rPr/>
        <w:t>the</w:t>
      </w:r>
      <w:r>
        <w:rPr>
          <w:spacing w:val="-7"/>
        </w:rPr>
        <w:t> </w:t>
      </w:r>
      <w:r>
        <w:rPr/>
        <w:t>public</w:t>
      </w:r>
      <w:r>
        <w:rPr>
          <w:spacing w:val="-8"/>
        </w:rPr>
        <w:t> </w:t>
      </w:r>
      <w:r>
        <w:rPr/>
        <w:t>had</w:t>
      </w:r>
      <w:r>
        <w:rPr>
          <w:spacing w:val="-7"/>
        </w:rPr>
        <w:t> </w:t>
      </w:r>
      <w:r>
        <w:rPr/>
        <w:t>come into</w:t>
      </w:r>
      <w:r>
        <w:rPr>
          <w:spacing w:val="-7"/>
        </w:rPr>
        <w:t> </w:t>
      </w:r>
      <w:r>
        <w:rPr/>
        <w:t>the</w:t>
      </w:r>
      <w:r>
        <w:rPr>
          <w:spacing w:val="-7"/>
        </w:rPr>
        <w:t> </w:t>
      </w:r>
      <w:r>
        <w:rPr/>
        <w:t>council</w:t>
      </w:r>
      <w:r>
        <w:rPr>
          <w:spacing w:val="-7"/>
        </w:rPr>
        <w:t> </w:t>
      </w:r>
      <w:r>
        <w:rPr/>
        <w:t>to</w:t>
      </w:r>
      <w:r>
        <w:rPr>
          <w:spacing w:val="-6"/>
        </w:rPr>
        <w:t> </w:t>
      </w:r>
      <w:r>
        <w:rPr/>
        <w:t>get</w:t>
      </w:r>
      <w:r>
        <w:rPr>
          <w:spacing w:val="-7"/>
        </w:rPr>
        <w:t> </w:t>
      </w:r>
      <w:r>
        <w:rPr/>
        <w:t>copies</w:t>
      </w:r>
      <w:r>
        <w:rPr>
          <w:spacing w:val="-7"/>
        </w:rPr>
        <w:t> </w:t>
      </w:r>
      <w:r>
        <w:rPr/>
        <w:t>of</w:t>
      </w:r>
      <w:r>
        <w:rPr>
          <w:spacing w:val="-6"/>
        </w:rPr>
        <w:t> </w:t>
      </w:r>
      <w:r>
        <w:rPr/>
        <w:t>the</w:t>
      </w:r>
      <w:r>
        <w:rPr>
          <w:spacing w:val="-7"/>
        </w:rPr>
        <w:t> </w:t>
      </w:r>
      <w:r>
        <w:rPr/>
        <w:t>NOA</w:t>
      </w:r>
      <w:r>
        <w:rPr>
          <w:spacing w:val="-7"/>
        </w:rPr>
        <w:t> </w:t>
      </w:r>
      <w:r>
        <w:rPr/>
        <w:t>material.</w:t>
      </w:r>
    </w:p>
    <w:p>
      <w:pPr>
        <w:pStyle w:val="BodyText"/>
        <w:spacing w:line="283" w:lineRule="auto" w:before="2"/>
        <w:ind w:left="1700" w:right="-1"/>
      </w:pPr>
      <w:r>
        <w:rPr/>
        <w:t>Some</w:t>
      </w:r>
      <w:r>
        <w:rPr>
          <w:spacing w:val="-10"/>
        </w:rPr>
        <w:t> </w:t>
      </w:r>
      <w:r>
        <w:rPr/>
        <w:t>councils</w:t>
      </w:r>
      <w:r>
        <w:rPr>
          <w:spacing w:val="-10"/>
        </w:rPr>
        <w:t> </w:t>
      </w:r>
      <w:r>
        <w:rPr/>
        <w:t>have</w:t>
      </w:r>
      <w:r>
        <w:rPr>
          <w:spacing w:val="-10"/>
        </w:rPr>
        <w:t> </w:t>
      </w:r>
      <w:r>
        <w:rPr/>
        <w:t>also</w:t>
      </w:r>
      <w:r>
        <w:rPr>
          <w:spacing w:val="-9"/>
        </w:rPr>
        <w:t> </w:t>
      </w:r>
      <w:r>
        <w:rPr/>
        <w:t>added</w:t>
      </w:r>
      <w:r>
        <w:rPr>
          <w:spacing w:val="-10"/>
        </w:rPr>
        <w:t> </w:t>
      </w:r>
      <w:r>
        <w:rPr/>
        <w:t>links</w:t>
      </w:r>
      <w:r>
        <w:rPr>
          <w:spacing w:val="-10"/>
        </w:rPr>
        <w:t> </w:t>
      </w:r>
      <w:r>
        <w:rPr/>
        <w:t>on</w:t>
      </w:r>
      <w:r>
        <w:rPr>
          <w:spacing w:val="-9"/>
        </w:rPr>
        <w:t> </w:t>
      </w:r>
      <w:r>
        <w:rPr/>
        <w:t>their</w:t>
      </w:r>
      <w:r>
        <w:rPr>
          <w:spacing w:val="-10"/>
        </w:rPr>
        <w:t> </w:t>
      </w:r>
      <w:r>
        <w:rPr/>
        <w:t>websites to the guidance</w:t>
      </w:r>
      <w:r>
        <w:rPr>
          <w:spacing w:val="-9"/>
        </w:rPr>
        <w:t> </w:t>
      </w:r>
      <w:r>
        <w:rPr/>
        <w:t>material.</w:t>
      </w:r>
    </w:p>
    <w:p>
      <w:pPr>
        <w:pStyle w:val="BodyText"/>
        <w:spacing w:before="8"/>
        <w:rPr>
          <w:sz w:val="26"/>
        </w:rPr>
      </w:pPr>
    </w:p>
    <w:p>
      <w:pPr>
        <w:pStyle w:val="BodyText"/>
        <w:ind w:left="1700"/>
      </w:pPr>
      <w:r>
        <w:rPr/>
        <w:pict>
          <v:group style="position:absolute;margin-left:680.189514pt;margin-top:18.586546pt;width:271pt;height:271pt;mso-position-horizontal-relative:page;mso-position-vertical-relative:paragraph;z-index:1048" coordorigin="13604,372" coordsize="5420,5420">
            <v:shape style="position:absolute;left:13606;top:374;width:5415;height:5415" type="#_x0000_t75" stroked="false">
              <v:imagedata r:id="rId7" o:title=""/>
            </v:shape>
            <v:rect style="position:absolute;left:13606;top:374;width:5415;height:5415" filled="false" stroked="true" strokeweight=".235pt" strokecolor="#000000">
              <v:stroke dashstyle="solid"/>
            </v:rect>
            <w10:wrap type="none"/>
          </v:group>
        </w:pict>
      </w:r>
      <w:r>
        <w:rPr/>
        <w:t>Figure 18: Poster for the NOA Management Plan</w:t>
      </w:r>
    </w:p>
    <w:p>
      <w:pPr>
        <w:pStyle w:val="Heading1"/>
        <w:spacing w:before="97"/>
        <w:ind w:left="506"/>
      </w:pPr>
      <w:r>
        <w:rPr/>
        <w:br w:type="column"/>
      </w:r>
      <w:r>
        <w:rPr>
          <w:w w:val="90"/>
        </w:rPr>
        <w:t>Next steps</w:t>
      </w:r>
    </w:p>
    <w:p>
      <w:pPr>
        <w:pStyle w:val="BodyText"/>
        <w:spacing w:line="283" w:lineRule="auto" w:before="160"/>
        <w:ind w:left="506" w:right="720"/>
      </w:pPr>
      <w:r>
        <w:rPr/>
        <w:t>The NOA material will continue to be promoted through the website, through social media and through</w:t>
      </w:r>
      <w:r>
        <w:rPr>
          <w:spacing w:val="-5"/>
        </w:rPr>
        <w:t> </w:t>
      </w:r>
      <w:r>
        <w:rPr/>
        <w:t>engagement</w:t>
      </w:r>
      <w:r>
        <w:rPr>
          <w:spacing w:val="-5"/>
        </w:rPr>
        <w:t> </w:t>
      </w:r>
      <w:r>
        <w:rPr/>
        <w:t>with</w:t>
      </w:r>
      <w:r>
        <w:rPr>
          <w:spacing w:val="-5"/>
        </w:rPr>
        <w:t> </w:t>
      </w:r>
      <w:r>
        <w:rPr/>
        <w:t>the</w:t>
      </w:r>
      <w:r>
        <w:rPr>
          <w:spacing w:val="-5"/>
        </w:rPr>
        <w:t> </w:t>
      </w:r>
      <w:r>
        <w:rPr/>
        <w:t>councils</w:t>
      </w:r>
      <w:r>
        <w:rPr>
          <w:spacing w:val="-5"/>
        </w:rPr>
        <w:t> </w:t>
      </w:r>
      <w:r>
        <w:rPr/>
        <w:t>where</w:t>
      </w:r>
      <w:r>
        <w:rPr>
          <w:spacing w:val="-5"/>
        </w:rPr>
        <w:t> </w:t>
      </w:r>
      <w:r>
        <w:rPr/>
        <w:t>the</w:t>
      </w:r>
      <w:r>
        <w:rPr>
          <w:spacing w:val="-4"/>
        </w:rPr>
        <w:t> </w:t>
      </w:r>
      <w:r>
        <w:rPr/>
        <w:t>local government</w:t>
      </w:r>
      <w:r>
        <w:rPr>
          <w:spacing w:val="-20"/>
        </w:rPr>
        <w:t> </w:t>
      </w:r>
      <w:r>
        <w:rPr/>
        <w:t>area</w:t>
      </w:r>
      <w:r>
        <w:rPr>
          <w:spacing w:val="-19"/>
        </w:rPr>
        <w:t> </w:t>
      </w:r>
      <w:r>
        <w:rPr/>
        <w:t>contains</w:t>
      </w:r>
      <w:r>
        <w:rPr>
          <w:spacing w:val="-19"/>
        </w:rPr>
        <w:t> </w:t>
      </w:r>
      <w:r>
        <w:rPr/>
        <w:t>naturally</w:t>
      </w:r>
      <w:r>
        <w:rPr>
          <w:spacing w:val="-19"/>
        </w:rPr>
        <w:t> </w:t>
      </w:r>
      <w:r>
        <w:rPr/>
        <w:t>occurring</w:t>
      </w:r>
      <w:r>
        <w:rPr>
          <w:spacing w:val="-19"/>
        </w:rPr>
        <w:t> </w:t>
      </w:r>
      <w:r>
        <w:rPr/>
        <w:t>asbestos.</w:t>
      </w:r>
    </w:p>
    <w:p>
      <w:pPr>
        <w:pStyle w:val="Heading1"/>
        <w:spacing w:before="141"/>
        <w:ind w:left="506"/>
      </w:pPr>
      <w:r>
        <w:rPr>
          <w:w w:val="90"/>
        </w:rPr>
        <w:t>More information</w:t>
      </w:r>
    </w:p>
    <w:p>
      <w:pPr>
        <w:pStyle w:val="BodyText"/>
        <w:spacing w:before="159"/>
        <w:ind w:left="506"/>
      </w:pPr>
      <w:r>
        <w:rPr/>
        <w:t>The NOA guidance material can be found at</w:t>
      </w:r>
    </w:p>
    <w:p>
      <w:pPr>
        <w:pStyle w:val="BodyText"/>
        <w:spacing w:before="41"/>
        <w:ind w:left="506"/>
      </w:pPr>
      <w:hyperlink r:id="rId8">
        <w:r>
          <w:rPr/>
          <w:t>www.asbestosawareness.com.au/noa/</w:t>
        </w:r>
      </w:hyperlink>
    </w:p>
    <w:p>
      <w:pPr>
        <w:spacing w:after="0"/>
        <w:sectPr>
          <w:type w:val="continuous"/>
          <w:pgSz w:w="23820" w:h="16840" w:orient="landscape"/>
          <w:pgMar w:top="1120" w:bottom="280" w:left="0" w:right="1020"/>
          <w:cols w:num="4" w:equalWidth="0">
            <w:col w:w="4989" w:space="40"/>
            <w:col w:w="5320" w:space="1556"/>
            <w:col w:w="5634" w:space="40"/>
            <w:col w:w="5221"/>
          </w:cols>
        </w:sectPr>
      </w:pPr>
    </w:p>
    <w:p>
      <w:pPr>
        <w:pStyle w:val="BodyText"/>
        <w:rPr>
          <w:sz w:val="20"/>
        </w:rPr>
      </w:pPr>
    </w:p>
    <w:p>
      <w:pPr>
        <w:pStyle w:val="BodyText"/>
        <w:rPr>
          <w:sz w:val="20"/>
        </w:rPr>
      </w:pPr>
    </w:p>
    <w:p>
      <w:pPr>
        <w:pStyle w:val="BodyText"/>
        <w:rPr>
          <w:sz w:val="20"/>
        </w:rPr>
      </w:pPr>
    </w:p>
    <w:p>
      <w:pPr>
        <w:pStyle w:val="BodyText"/>
        <w:spacing w:before="12"/>
        <w:rPr>
          <w:sz w:val="19"/>
        </w:rPr>
      </w:pPr>
    </w:p>
    <w:p>
      <w:pPr>
        <w:tabs>
          <w:tab w:pos="22540" w:val="left" w:leader="none"/>
        </w:tabs>
        <w:spacing w:before="97"/>
        <w:ind w:left="1133" w:right="0" w:firstLine="0"/>
        <w:jc w:val="left"/>
        <w:rPr>
          <w:sz w:val="14"/>
        </w:rPr>
      </w:pPr>
      <w:r>
        <w:rPr>
          <w:sz w:val="14"/>
        </w:rPr>
        <w:t>26</w:t>
        <w:tab/>
        <w:t>27</w:t>
      </w:r>
    </w:p>
    <w:sectPr>
      <w:type w:val="continuous"/>
      <w:pgSz w:w="23820" w:h="16840" w:orient="landscape"/>
      <w:pgMar w:top="1120" w:bottom="280" w:left="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1700"/>
      <w:outlineLvl w:val="1"/>
    </w:pPr>
    <w:rPr>
      <w:rFonts w:ascii="Arial" w:hAnsi="Arial" w:eastAsia="Arial" w:cs="Arial"/>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asbestosawareness.com.au/n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2018-12-12T01:43:19Z</dcterms:created>
  <dcterms:modified xsi:type="dcterms:W3CDTF">2018-12-12T01:43:19Z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