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1"/>
        <w:ind w:left="1711" w:right="0" w:firstLine="0"/>
        <w:jc w:val="left"/>
        <w:rPr>
          <w:rFonts w:ascii="Arial"/>
          <w:sz w:val="48"/>
        </w:rPr>
      </w:pPr>
      <w:r>
        <w:rPr/>
        <w:pict>
          <v:shape style="position:absolute;margin-left:56.693401pt;margin-top:-.22816pt;width:21.95pt;height:38.35pt;mso-position-horizontal-relative:page;mso-position-vertical-relative:paragraph;z-index:1024" coordorigin="1134,-5" coordsize="439,767" path="m1189,-5l1135,50,1463,378,1134,707,1189,762,1572,378,1189,-5xe" filled="true" fillcolor="#ed1d24" stroked="false">
            <v:path arrowok="t"/>
            <v:fill type="solid"/>
            <w10:wrap type="none"/>
          </v:shape>
        </w:pict>
      </w:r>
      <w:r>
        <w:rPr>
          <w:rFonts w:ascii="Arial"/>
          <w:color w:val="542785"/>
          <w:w w:val="80"/>
          <w:sz w:val="48"/>
        </w:rPr>
        <w:t>AUSTRALIAN GOVERNMENT</w:t>
      </w:r>
    </w:p>
    <w:p>
      <w:pPr>
        <w:pStyle w:val="BodyText"/>
        <w:rPr>
          <w:rFonts w:ascii="Arial"/>
          <w:sz w:val="20"/>
        </w:rPr>
      </w:pPr>
    </w:p>
    <w:p>
      <w:pPr>
        <w:pStyle w:val="BodyText"/>
        <w:rPr>
          <w:rFonts w:ascii="Arial"/>
          <w:sz w:val="20"/>
        </w:rPr>
      </w:pPr>
    </w:p>
    <w:p>
      <w:pPr>
        <w:pStyle w:val="BodyText"/>
        <w:spacing w:before="9"/>
        <w:rPr>
          <w:rFonts w:ascii="Arial"/>
          <w:sz w:val="17"/>
        </w:rPr>
      </w:pPr>
    </w:p>
    <w:p>
      <w:pPr>
        <w:spacing w:after="0"/>
        <w:rPr>
          <w:rFonts w:ascii="Arial"/>
          <w:sz w:val="17"/>
        </w:rPr>
        <w:sectPr>
          <w:type w:val="continuous"/>
          <w:pgSz w:w="23820" w:h="16840" w:orient="landscape"/>
          <w:pgMar w:top="1120" w:bottom="280" w:left="0" w:right="1020"/>
        </w:sectPr>
      </w:pPr>
    </w:p>
    <w:p>
      <w:pPr>
        <w:pStyle w:val="BodyText"/>
        <w:rPr>
          <w:rFonts w:ascii="Arial"/>
          <w:sz w:val="32"/>
        </w:rPr>
      </w:pPr>
    </w:p>
    <w:p>
      <w:pPr>
        <w:pStyle w:val="BodyText"/>
        <w:rPr>
          <w:rFonts w:ascii="Arial"/>
          <w:sz w:val="32"/>
        </w:rPr>
      </w:pPr>
    </w:p>
    <w:p>
      <w:pPr>
        <w:pStyle w:val="BodyText"/>
        <w:rPr>
          <w:rFonts w:ascii="Arial"/>
          <w:sz w:val="37"/>
        </w:rPr>
      </w:pPr>
    </w:p>
    <w:p>
      <w:pPr>
        <w:spacing w:before="0"/>
        <w:ind w:left="1700" w:right="0" w:firstLine="0"/>
        <w:jc w:val="left"/>
        <w:rPr>
          <w:rFonts w:ascii="Arial"/>
          <w:sz w:val="28"/>
        </w:rPr>
      </w:pPr>
      <w:r>
        <w:rPr>
          <w:rFonts w:ascii="Arial"/>
          <w:color w:val="00A1E0"/>
          <w:w w:val="90"/>
          <w:sz w:val="28"/>
        </w:rPr>
        <w:t>Strategy:</w:t>
      </w:r>
    </w:p>
    <w:p>
      <w:pPr>
        <w:spacing w:before="38"/>
        <w:ind w:left="1700" w:right="0" w:firstLine="0"/>
        <w:jc w:val="left"/>
        <w:rPr>
          <w:rFonts w:ascii="Arial"/>
          <w:sz w:val="28"/>
        </w:rPr>
      </w:pPr>
      <w:r>
        <w:rPr>
          <w:rFonts w:ascii="Arial"/>
          <w:w w:val="90"/>
          <w:sz w:val="28"/>
        </w:rPr>
        <w:t>Identification</w:t>
      </w:r>
    </w:p>
    <w:p>
      <w:pPr>
        <w:pStyle w:val="BodyText"/>
        <w:spacing w:before="10"/>
        <w:rPr>
          <w:rFonts w:ascii="Arial"/>
          <w:sz w:val="32"/>
        </w:rPr>
      </w:pPr>
    </w:p>
    <w:p>
      <w:pPr>
        <w:spacing w:before="1"/>
        <w:ind w:left="1700" w:right="0" w:firstLine="0"/>
        <w:jc w:val="left"/>
        <w:rPr>
          <w:rFonts w:ascii="Arial"/>
          <w:sz w:val="28"/>
        </w:rPr>
      </w:pPr>
      <w:r>
        <w:rPr>
          <w:rFonts w:ascii="Arial"/>
          <w:color w:val="00A1E0"/>
          <w:w w:val="90"/>
          <w:sz w:val="28"/>
        </w:rPr>
        <w:t>Outcome:</w:t>
      </w:r>
    </w:p>
    <w:p>
      <w:pPr>
        <w:spacing w:line="268" w:lineRule="auto" w:before="38"/>
        <w:ind w:left="1700" w:right="0" w:firstLine="0"/>
        <w:jc w:val="left"/>
        <w:rPr>
          <w:rFonts w:ascii="Arial"/>
          <w:sz w:val="28"/>
        </w:rPr>
      </w:pPr>
      <w:r>
        <w:rPr>
          <w:rFonts w:ascii="Arial"/>
          <w:w w:val="90"/>
          <w:sz w:val="28"/>
        </w:rPr>
        <w:t>(03.6) Effective coordinated </w:t>
      </w:r>
      <w:r>
        <w:rPr>
          <w:rFonts w:ascii="Arial"/>
          <w:w w:val="80"/>
          <w:sz w:val="28"/>
        </w:rPr>
        <w:t>response when ACMs in imported </w:t>
      </w:r>
      <w:r>
        <w:rPr>
          <w:rFonts w:ascii="Arial"/>
          <w:w w:val="90"/>
          <w:sz w:val="28"/>
        </w:rPr>
        <w:t>products are identified</w:t>
      </w:r>
    </w:p>
    <w:p>
      <w:pPr>
        <w:pStyle w:val="BodyText"/>
        <w:spacing w:before="5"/>
        <w:rPr>
          <w:rFonts w:ascii="Arial"/>
          <w:sz w:val="29"/>
        </w:rPr>
      </w:pPr>
    </w:p>
    <w:p>
      <w:pPr>
        <w:spacing w:before="0"/>
        <w:ind w:left="1700" w:right="0" w:firstLine="0"/>
        <w:jc w:val="left"/>
        <w:rPr>
          <w:rFonts w:ascii="Arial"/>
          <w:sz w:val="28"/>
        </w:rPr>
      </w:pPr>
      <w:r>
        <w:rPr>
          <w:rFonts w:ascii="Arial"/>
          <w:color w:val="00A1E0"/>
          <w:w w:val="90"/>
          <w:sz w:val="28"/>
        </w:rPr>
        <w:t>Deliverable:</w:t>
      </w:r>
    </w:p>
    <w:p>
      <w:pPr>
        <w:spacing w:line="268" w:lineRule="auto" w:before="38"/>
        <w:ind w:left="1700" w:right="-13" w:firstLine="0"/>
        <w:jc w:val="left"/>
        <w:rPr>
          <w:rFonts w:ascii="Arial"/>
          <w:sz w:val="28"/>
        </w:rPr>
      </w:pPr>
      <w:r>
        <w:rPr>
          <w:rFonts w:ascii="Arial"/>
          <w:spacing w:val="4"/>
          <w:w w:val="85"/>
          <w:sz w:val="28"/>
        </w:rPr>
        <w:t>(D3.4)</w:t>
      </w:r>
      <w:r>
        <w:rPr>
          <w:rFonts w:ascii="Arial"/>
          <w:spacing w:val="-23"/>
          <w:w w:val="85"/>
          <w:sz w:val="28"/>
        </w:rPr>
        <w:t> </w:t>
      </w:r>
      <w:r>
        <w:rPr>
          <w:rFonts w:ascii="Arial"/>
          <w:w w:val="85"/>
          <w:sz w:val="28"/>
        </w:rPr>
        <w:t>Support</w:t>
      </w:r>
      <w:r>
        <w:rPr>
          <w:rFonts w:ascii="Arial"/>
          <w:spacing w:val="-22"/>
          <w:w w:val="85"/>
          <w:sz w:val="28"/>
        </w:rPr>
        <w:t> </w:t>
      </w:r>
      <w:r>
        <w:rPr>
          <w:rFonts w:ascii="Arial"/>
          <w:w w:val="85"/>
          <w:sz w:val="28"/>
        </w:rPr>
        <w:t>the</w:t>
      </w:r>
      <w:r>
        <w:rPr>
          <w:rFonts w:ascii="Arial"/>
          <w:spacing w:val="-22"/>
          <w:w w:val="85"/>
          <w:sz w:val="28"/>
        </w:rPr>
        <w:t> </w:t>
      </w:r>
      <w:r>
        <w:rPr>
          <w:rFonts w:ascii="Arial"/>
          <w:spacing w:val="3"/>
          <w:w w:val="85"/>
          <w:sz w:val="28"/>
        </w:rPr>
        <w:t>2003</w:t>
      </w:r>
      <w:r>
        <w:rPr>
          <w:rFonts w:ascii="Arial"/>
          <w:spacing w:val="-22"/>
          <w:w w:val="85"/>
          <w:sz w:val="28"/>
        </w:rPr>
        <w:t> </w:t>
      </w:r>
      <w:r>
        <w:rPr>
          <w:rFonts w:ascii="Arial"/>
          <w:w w:val="85"/>
          <w:sz w:val="28"/>
        </w:rPr>
        <w:t>ban</w:t>
      </w:r>
      <w:r>
        <w:rPr>
          <w:rFonts w:ascii="Arial"/>
          <w:spacing w:val="-22"/>
          <w:w w:val="85"/>
          <w:sz w:val="28"/>
        </w:rPr>
        <w:t> </w:t>
      </w:r>
      <w:r>
        <w:rPr>
          <w:rFonts w:ascii="Arial"/>
          <w:w w:val="85"/>
          <w:sz w:val="28"/>
        </w:rPr>
        <w:t>on</w:t>
      </w:r>
      <w:r>
        <w:rPr>
          <w:rFonts w:ascii="Arial"/>
          <w:spacing w:val="-22"/>
          <w:w w:val="85"/>
          <w:sz w:val="28"/>
        </w:rPr>
        <w:t> </w:t>
      </w:r>
      <w:r>
        <w:rPr>
          <w:rFonts w:ascii="Arial"/>
          <w:w w:val="85"/>
          <w:sz w:val="28"/>
        </w:rPr>
        <w:t>the importation</w:t>
      </w:r>
      <w:r>
        <w:rPr>
          <w:rFonts w:ascii="Arial"/>
          <w:spacing w:val="-29"/>
          <w:w w:val="85"/>
          <w:sz w:val="28"/>
        </w:rPr>
        <w:t> </w:t>
      </w:r>
      <w:r>
        <w:rPr>
          <w:rFonts w:ascii="Arial"/>
          <w:w w:val="85"/>
          <w:sz w:val="28"/>
        </w:rPr>
        <w:t>of</w:t>
      </w:r>
      <w:r>
        <w:rPr>
          <w:rFonts w:ascii="Arial"/>
          <w:spacing w:val="-27"/>
          <w:w w:val="85"/>
          <w:sz w:val="28"/>
        </w:rPr>
        <w:t> </w:t>
      </w:r>
      <w:r>
        <w:rPr>
          <w:rFonts w:ascii="Arial"/>
          <w:w w:val="85"/>
          <w:sz w:val="28"/>
        </w:rPr>
        <w:t>ACMs</w:t>
      </w:r>
      <w:r>
        <w:rPr>
          <w:rFonts w:ascii="Arial"/>
          <w:spacing w:val="-28"/>
          <w:w w:val="85"/>
          <w:sz w:val="28"/>
        </w:rPr>
        <w:t> </w:t>
      </w:r>
      <w:r>
        <w:rPr>
          <w:rFonts w:ascii="Arial"/>
          <w:w w:val="85"/>
          <w:sz w:val="28"/>
        </w:rPr>
        <w:t>with</w:t>
      </w:r>
      <w:r>
        <w:rPr>
          <w:rFonts w:ascii="Arial"/>
          <w:spacing w:val="-28"/>
          <w:w w:val="85"/>
          <w:sz w:val="28"/>
        </w:rPr>
        <w:t> </w:t>
      </w:r>
      <w:r>
        <w:rPr>
          <w:rFonts w:ascii="Arial"/>
          <w:w w:val="85"/>
          <w:sz w:val="28"/>
        </w:rPr>
        <w:t>improved </w:t>
      </w:r>
      <w:r>
        <w:rPr>
          <w:rFonts w:ascii="Arial"/>
          <w:w w:val="90"/>
          <w:sz w:val="28"/>
        </w:rPr>
        <w:t>coordinated</w:t>
      </w:r>
      <w:r>
        <w:rPr>
          <w:rFonts w:ascii="Arial"/>
          <w:spacing w:val="-46"/>
          <w:w w:val="90"/>
          <w:sz w:val="28"/>
        </w:rPr>
        <w:t> </w:t>
      </w:r>
      <w:r>
        <w:rPr>
          <w:rFonts w:ascii="Arial"/>
          <w:spacing w:val="2"/>
          <w:w w:val="90"/>
          <w:sz w:val="28"/>
        </w:rPr>
        <w:t>efforts</w:t>
      </w:r>
      <w:r>
        <w:rPr>
          <w:rFonts w:ascii="Arial"/>
          <w:spacing w:val="-45"/>
          <w:w w:val="90"/>
          <w:sz w:val="28"/>
        </w:rPr>
        <w:t> </w:t>
      </w:r>
      <w:r>
        <w:rPr>
          <w:rFonts w:ascii="Arial"/>
          <w:w w:val="90"/>
          <w:sz w:val="28"/>
        </w:rPr>
        <w:t>to</w:t>
      </w:r>
      <w:r>
        <w:rPr>
          <w:rFonts w:ascii="Arial"/>
          <w:spacing w:val="-45"/>
          <w:w w:val="90"/>
          <w:sz w:val="28"/>
        </w:rPr>
        <w:t> </w:t>
      </w:r>
      <w:r>
        <w:rPr>
          <w:rFonts w:ascii="Arial"/>
          <w:w w:val="90"/>
          <w:sz w:val="28"/>
        </w:rPr>
        <w:t>identify</w:t>
      </w:r>
      <w:r>
        <w:rPr>
          <w:rFonts w:ascii="Arial"/>
          <w:spacing w:val="-46"/>
          <w:w w:val="90"/>
          <w:sz w:val="28"/>
        </w:rPr>
        <w:t> </w:t>
      </w:r>
      <w:r>
        <w:rPr>
          <w:rFonts w:ascii="Arial"/>
          <w:w w:val="90"/>
          <w:sz w:val="28"/>
        </w:rPr>
        <w:t>and </w:t>
      </w:r>
      <w:r>
        <w:rPr>
          <w:rFonts w:ascii="Arial"/>
          <w:w w:val="85"/>
          <w:sz w:val="28"/>
        </w:rPr>
        <w:t>respond</w:t>
      </w:r>
      <w:r>
        <w:rPr>
          <w:rFonts w:ascii="Arial"/>
          <w:spacing w:val="-28"/>
          <w:w w:val="85"/>
          <w:sz w:val="28"/>
        </w:rPr>
        <w:t> </w:t>
      </w:r>
      <w:r>
        <w:rPr>
          <w:rFonts w:ascii="Arial"/>
          <w:w w:val="85"/>
          <w:sz w:val="28"/>
        </w:rPr>
        <w:t>to</w:t>
      </w:r>
      <w:r>
        <w:rPr>
          <w:rFonts w:ascii="Arial"/>
          <w:spacing w:val="-27"/>
          <w:w w:val="85"/>
          <w:sz w:val="28"/>
        </w:rPr>
        <w:t> </w:t>
      </w:r>
      <w:r>
        <w:rPr>
          <w:rFonts w:ascii="Arial"/>
          <w:w w:val="85"/>
          <w:sz w:val="28"/>
        </w:rPr>
        <w:t>the</w:t>
      </w:r>
      <w:r>
        <w:rPr>
          <w:rFonts w:ascii="Arial"/>
          <w:spacing w:val="-27"/>
          <w:w w:val="85"/>
          <w:sz w:val="28"/>
        </w:rPr>
        <w:t> </w:t>
      </w:r>
      <w:r>
        <w:rPr>
          <w:rFonts w:ascii="Arial"/>
          <w:w w:val="85"/>
          <w:sz w:val="28"/>
        </w:rPr>
        <w:t>importation</w:t>
      </w:r>
      <w:r>
        <w:rPr>
          <w:rFonts w:ascii="Arial"/>
          <w:spacing w:val="-27"/>
          <w:w w:val="85"/>
          <w:sz w:val="28"/>
        </w:rPr>
        <w:t> </w:t>
      </w:r>
      <w:r>
        <w:rPr>
          <w:rFonts w:ascii="Arial"/>
          <w:w w:val="85"/>
          <w:sz w:val="28"/>
        </w:rPr>
        <w:t>of</w:t>
      </w:r>
      <w:r>
        <w:rPr>
          <w:rFonts w:ascii="Arial"/>
          <w:spacing w:val="-28"/>
          <w:w w:val="85"/>
          <w:sz w:val="28"/>
        </w:rPr>
        <w:t> </w:t>
      </w:r>
      <w:r>
        <w:rPr>
          <w:rFonts w:ascii="Arial"/>
          <w:w w:val="85"/>
          <w:sz w:val="28"/>
        </w:rPr>
        <w:t>ACMs</w:t>
      </w:r>
    </w:p>
    <w:p>
      <w:pPr>
        <w:pStyle w:val="BodyText"/>
        <w:spacing w:before="4"/>
        <w:rPr>
          <w:rFonts w:ascii="Arial"/>
          <w:sz w:val="29"/>
        </w:rPr>
      </w:pPr>
    </w:p>
    <w:p>
      <w:pPr>
        <w:spacing w:line="268" w:lineRule="auto" w:before="1"/>
        <w:ind w:left="1700" w:right="2725" w:firstLine="0"/>
        <w:jc w:val="left"/>
        <w:rPr>
          <w:rFonts w:ascii="Arial"/>
          <w:sz w:val="28"/>
        </w:rPr>
      </w:pPr>
      <w:r>
        <w:rPr>
          <w:rFonts w:ascii="Arial"/>
          <w:color w:val="00A1E0"/>
          <w:w w:val="80"/>
          <w:sz w:val="28"/>
        </w:rPr>
        <w:t>Location: </w:t>
      </w:r>
      <w:r>
        <w:rPr>
          <w:rFonts w:ascii="Arial"/>
          <w:w w:val="85"/>
          <w:sz w:val="28"/>
        </w:rPr>
        <w:t>National</w:t>
      </w:r>
    </w:p>
    <w:p>
      <w:pPr>
        <w:pStyle w:val="BodyText"/>
        <w:rPr>
          <w:rFonts w:ascii="Arial"/>
          <w:sz w:val="32"/>
        </w:rPr>
      </w:pPr>
      <w:r>
        <w:rPr/>
        <w:br w:type="column"/>
      </w:r>
      <w:r>
        <w:rPr>
          <w:rFonts w:ascii="Arial"/>
          <w:sz w:val="32"/>
        </w:rPr>
      </w:r>
    </w:p>
    <w:p>
      <w:pPr>
        <w:pStyle w:val="BodyText"/>
        <w:rPr>
          <w:rFonts w:ascii="Arial"/>
          <w:sz w:val="32"/>
        </w:rPr>
      </w:pPr>
    </w:p>
    <w:p>
      <w:pPr>
        <w:pStyle w:val="BodyText"/>
        <w:spacing w:before="2"/>
        <w:rPr>
          <w:rFonts w:ascii="Arial"/>
          <w:sz w:val="39"/>
        </w:rPr>
      </w:pPr>
    </w:p>
    <w:p>
      <w:pPr>
        <w:spacing w:before="0"/>
        <w:ind w:left="785" w:right="0" w:firstLine="0"/>
        <w:jc w:val="left"/>
        <w:rPr>
          <w:rFonts w:ascii="Arial"/>
          <w:sz w:val="28"/>
        </w:rPr>
      </w:pPr>
      <w:r>
        <w:rPr>
          <w:rFonts w:ascii="Arial"/>
          <w:w w:val="90"/>
          <w:sz w:val="28"/>
        </w:rPr>
        <w:t>The issue</w:t>
      </w:r>
    </w:p>
    <w:p>
      <w:pPr>
        <w:pStyle w:val="BodyText"/>
        <w:spacing w:line="283" w:lineRule="auto" w:before="158"/>
        <w:ind w:left="785" w:right="34"/>
      </w:pPr>
      <w:r>
        <w:rPr/>
        <w:t>Novelty fire wallets (Figure </w:t>
      </w:r>
      <w:r>
        <w:rPr>
          <w:spacing w:val="-5"/>
        </w:rPr>
        <w:t>17) </w:t>
      </w:r>
      <w:r>
        <w:rPr/>
        <w:t>are a product used by magic enthusiasts having the appearance of a regular leather wallet but produce a large flame when opened. The wallets contain absorbent pads that are pre-filled with lighter-fluid ignited by a flint striker upon opening. The</w:t>
      </w:r>
      <w:r>
        <w:rPr>
          <w:spacing w:val="-17"/>
        </w:rPr>
        <w:t> </w:t>
      </w:r>
      <w:r>
        <w:rPr/>
        <w:t>fire</w:t>
      </w:r>
      <w:r>
        <w:rPr>
          <w:spacing w:val="-17"/>
        </w:rPr>
        <w:t> </w:t>
      </w:r>
      <w:r>
        <w:rPr/>
        <w:t>wallets</w:t>
      </w:r>
      <w:r>
        <w:rPr>
          <w:spacing w:val="-17"/>
        </w:rPr>
        <w:t> </w:t>
      </w:r>
      <w:r>
        <w:rPr/>
        <w:t>are</w:t>
      </w:r>
      <w:r>
        <w:rPr>
          <w:spacing w:val="-17"/>
        </w:rPr>
        <w:t> </w:t>
      </w:r>
      <w:r>
        <w:rPr/>
        <w:t>known</w:t>
      </w:r>
      <w:r>
        <w:rPr>
          <w:spacing w:val="-17"/>
        </w:rPr>
        <w:t> </w:t>
      </w:r>
      <w:r>
        <w:rPr/>
        <w:t>to</w:t>
      </w:r>
      <w:r>
        <w:rPr>
          <w:spacing w:val="-17"/>
        </w:rPr>
        <w:t> </w:t>
      </w:r>
      <w:r>
        <w:rPr/>
        <w:t>potentially</w:t>
      </w:r>
      <w:r>
        <w:rPr>
          <w:spacing w:val="-17"/>
        </w:rPr>
        <w:t> </w:t>
      </w:r>
      <w:r>
        <w:rPr/>
        <w:t>contain</w:t>
      </w:r>
      <w:r>
        <w:rPr>
          <w:spacing w:val="-17"/>
        </w:rPr>
        <w:t> </w:t>
      </w:r>
      <w:r>
        <w:rPr/>
        <w:t>chrysotile asbestos</w:t>
      </w:r>
      <w:r>
        <w:rPr>
          <w:spacing w:val="-8"/>
        </w:rPr>
        <w:t> </w:t>
      </w:r>
      <w:r>
        <w:rPr/>
        <w:t>in</w:t>
      </w:r>
      <w:r>
        <w:rPr>
          <w:spacing w:val="-7"/>
        </w:rPr>
        <w:t> </w:t>
      </w:r>
      <w:r>
        <w:rPr/>
        <w:t>the</w:t>
      </w:r>
      <w:r>
        <w:rPr>
          <w:spacing w:val="-7"/>
        </w:rPr>
        <w:t> </w:t>
      </w:r>
      <w:r>
        <w:rPr/>
        <w:t>absorbent</w:t>
      </w:r>
      <w:r>
        <w:rPr>
          <w:spacing w:val="-8"/>
        </w:rPr>
        <w:t> </w:t>
      </w:r>
      <w:r>
        <w:rPr/>
        <w:t>pads</w:t>
      </w:r>
      <w:r>
        <w:rPr>
          <w:spacing w:val="-7"/>
        </w:rPr>
        <w:t> </w:t>
      </w:r>
      <w:r>
        <w:rPr/>
        <w:t>as</w:t>
      </w:r>
      <w:r>
        <w:rPr>
          <w:spacing w:val="-8"/>
        </w:rPr>
        <w:t> </w:t>
      </w:r>
      <w:r>
        <w:rPr/>
        <w:t>a</w:t>
      </w:r>
      <w:r>
        <w:rPr>
          <w:spacing w:val="-7"/>
        </w:rPr>
        <w:t> </w:t>
      </w:r>
      <w:r>
        <w:rPr/>
        <w:t>fire</w:t>
      </w:r>
      <w:r>
        <w:rPr>
          <w:spacing w:val="-7"/>
        </w:rPr>
        <w:t> </w:t>
      </w:r>
      <w:r>
        <w:rPr/>
        <w:t>retardant.</w:t>
      </w:r>
    </w:p>
    <w:p>
      <w:pPr>
        <w:pStyle w:val="BodyText"/>
        <w:spacing w:before="135"/>
        <w:ind w:left="785"/>
      </w:pPr>
      <w:r>
        <w:rPr/>
        <w:t>These</w:t>
      </w:r>
      <w:r>
        <w:rPr>
          <w:spacing w:val="-13"/>
        </w:rPr>
        <w:t> </w:t>
      </w:r>
      <w:r>
        <w:rPr/>
        <w:t>novelty</w:t>
      </w:r>
      <w:r>
        <w:rPr>
          <w:spacing w:val="-13"/>
        </w:rPr>
        <w:t> </w:t>
      </w:r>
      <w:r>
        <w:rPr/>
        <w:t>fire</w:t>
      </w:r>
      <w:r>
        <w:rPr>
          <w:spacing w:val="-13"/>
        </w:rPr>
        <w:t> </w:t>
      </w:r>
      <w:r>
        <w:rPr/>
        <w:t>wallets</w:t>
      </w:r>
      <w:r>
        <w:rPr>
          <w:spacing w:val="-13"/>
        </w:rPr>
        <w:t> </w:t>
      </w:r>
      <w:r>
        <w:rPr/>
        <w:t>were</w:t>
      </w:r>
      <w:r>
        <w:rPr>
          <w:spacing w:val="-13"/>
        </w:rPr>
        <w:t> </w:t>
      </w:r>
      <w:r>
        <w:rPr/>
        <w:t>supplied</w:t>
      </w:r>
      <w:r>
        <w:rPr>
          <w:spacing w:val="-13"/>
        </w:rPr>
        <w:t> </w:t>
      </w:r>
      <w:r>
        <w:rPr/>
        <w:t>online</w:t>
      </w:r>
      <w:r>
        <w:rPr>
          <w:spacing w:val="-13"/>
        </w:rPr>
        <w:t> </w:t>
      </w:r>
      <w:r>
        <w:rPr/>
        <w:t>by</w:t>
      </w:r>
    </w:p>
    <w:p>
      <w:pPr>
        <w:spacing w:line="283" w:lineRule="auto" w:before="40"/>
        <w:ind w:left="785" w:right="72" w:firstLine="0"/>
        <w:jc w:val="left"/>
        <w:rPr>
          <w:i/>
          <w:sz w:val="18"/>
        </w:rPr>
      </w:pPr>
      <w:r>
        <w:rPr>
          <w:spacing w:val="-4"/>
          <w:sz w:val="18"/>
        </w:rPr>
        <w:t>‘All</w:t>
      </w:r>
      <w:r>
        <w:rPr>
          <w:spacing w:val="-13"/>
          <w:sz w:val="18"/>
        </w:rPr>
        <w:t> </w:t>
      </w:r>
      <w:r>
        <w:rPr>
          <w:sz w:val="18"/>
        </w:rPr>
        <w:t>Media</w:t>
      </w:r>
      <w:r>
        <w:rPr>
          <w:spacing w:val="-13"/>
          <w:sz w:val="18"/>
        </w:rPr>
        <w:t> </w:t>
      </w:r>
      <w:r>
        <w:rPr>
          <w:sz w:val="18"/>
        </w:rPr>
        <w:t>Collectables’</w:t>
      </w:r>
      <w:r>
        <w:rPr>
          <w:spacing w:val="-13"/>
          <w:sz w:val="18"/>
        </w:rPr>
        <w:t> </w:t>
      </w:r>
      <w:r>
        <w:rPr>
          <w:sz w:val="18"/>
        </w:rPr>
        <w:t>via</w:t>
      </w:r>
      <w:r>
        <w:rPr>
          <w:spacing w:val="-12"/>
          <w:sz w:val="18"/>
        </w:rPr>
        <w:t> </w:t>
      </w:r>
      <w:r>
        <w:rPr>
          <w:sz w:val="18"/>
        </w:rPr>
        <w:t>the</w:t>
      </w:r>
      <w:r>
        <w:rPr>
          <w:spacing w:val="-13"/>
          <w:sz w:val="18"/>
        </w:rPr>
        <w:t> </w:t>
      </w:r>
      <w:r>
        <w:rPr>
          <w:sz w:val="18"/>
        </w:rPr>
        <w:t>eBay</w:t>
      </w:r>
      <w:r>
        <w:rPr>
          <w:spacing w:val="-13"/>
          <w:sz w:val="18"/>
        </w:rPr>
        <w:t> </w:t>
      </w:r>
      <w:r>
        <w:rPr>
          <w:sz w:val="18"/>
        </w:rPr>
        <w:t>store</w:t>
      </w:r>
      <w:r>
        <w:rPr>
          <w:spacing w:val="-13"/>
          <w:sz w:val="18"/>
        </w:rPr>
        <w:t> </w:t>
      </w:r>
      <w:r>
        <w:rPr>
          <w:sz w:val="18"/>
        </w:rPr>
        <w:t>from</w:t>
      </w:r>
      <w:r>
        <w:rPr>
          <w:spacing w:val="-12"/>
          <w:sz w:val="18"/>
        </w:rPr>
        <w:t> </w:t>
      </w:r>
      <w:r>
        <w:rPr>
          <w:sz w:val="18"/>
        </w:rPr>
        <w:t>July</w:t>
      </w:r>
      <w:r>
        <w:rPr>
          <w:spacing w:val="-13"/>
          <w:sz w:val="18"/>
        </w:rPr>
        <w:t> </w:t>
      </w:r>
      <w:r>
        <w:rPr>
          <w:spacing w:val="-8"/>
          <w:sz w:val="18"/>
        </w:rPr>
        <w:t>2011 </w:t>
      </w:r>
      <w:r>
        <w:rPr>
          <w:sz w:val="18"/>
        </w:rPr>
        <w:t>to November </w:t>
      </w:r>
      <w:r>
        <w:rPr>
          <w:spacing w:val="-5"/>
          <w:sz w:val="18"/>
        </w:rPr>
        <w:t>2013. </w:t>
      </w:r>
      <w:r>
        <w:rPr>
          <w:sz w:val="18"/>
        </w:rPr>
        <w:t>Testing of these products detected the presence of chrysotile asbestos (white asbestos) in the</w:t>
      </w:r>
      <w:r>
        <w:rPr>
          <w:spacing w:val="-12"/>
          <w:sz w:val="18"/>
        </w:rPr>
        <w:t> </w:t>
      </w:r>
      <w:r>
        <w:rPr>
          <w:sz w:val="18"/>
        </w:rPr>
        <w:t>flame</w:t>
      </w:r>
      <w:r>
        <w:rPr>
          <w:spacing w:val="-12"/>
          <w:sz w:val="18"/>
        </w:rPr>
        <w:t> </w:t>
      </w:r>
      <w:r>
        <w:rPr>
          <w:sz w:val="18"/>
        </w:rPr>
        <w:t>pads</w:t>
      </w:r>
      <w:r>
        <w:rPr>
          <w:spacing w:val="-12"/>
          <w:sz w:val="18"/>
        </w:rPr>
        <w:t> </w:t>
      </w:r>
      <w:r>
        <w:rPr>
          <w:sz w:val="18"/>
        </w:rPr>
        <w:t>of</w:t>
      </w:r>
      <w:r>
        <w:rPr>
          <w:spacing w:val="-12"/>
          <w:sz w:val="18"/>
        </w:rPr>
        <w:t> </w:t>
      </w:r>
      <w:r>
        <w:rPr>
          <w:sz w:val="18"/>
        </w:rPr>
        <w:t>the</w:t>
      </w:r>
      <w:r>
        <w:rPr>
          <w:spacing w:val="-12"/>
          <w:sz w:val="18"/>
        </w:rPr>
        <w:t> </w:t>
      </w:r>
      <w:r>
        <w:rPr>
          <w:sz w:val="18"/>
        </w:rPr>
        <w:t>wallet.</w:t>
      </w:r>
      <w:r>
        <w:rPr>
          <w:spacing w:val="-12"/>
          <w:sz w:val="18"/>
        </w:rPr>
        <w:t> </w:t>
      </w:r>
      <w:r>
        <w:rPr>
          <w:sz w:val="18"/>
        </w:rPr>
        <w:t>The</w:t>
      </w:r>
      <w:r>
        <w:rPr>
          <w:spacing w:val="-12"/>
          <w:sz w:val="18"/>
        </w:rPr>
        <w:t> </w:t>
      </w:r>
      <w:r>
        <w:rPr>
          <w:sz w:val="18"/>
        </w:rPr>
        <w:t>importation</w:t>
      </w:r>
      <w:r>
        <w:rPr>
          <w:spacing w:val="-12"/>
          <w:sz w:val="18"/>
        </w:rPr>
        <w:t> </w:t>
      </w:r>
      <w:r>
        <w:rPr>
          <w:sz w:val="18"/>
        </w:rPr>
        <w:t>of</w:t>
      </w:r>
      <w:r>
        <w:rPr>
          <w:spacing w:val="-12"/>
          <w:sz w:val="18"/>
        </w:rPr>
        <w:t> </w:t>
      </w:r>
      <w:r>
        <w:rPr>
          <w:sz w:val="18"/>
        </w:rPr>
        <w:t>asbestos or</w:t>
      </w:r>
      <w:r>
        <w:rPr>
          <w:spacing w:val="-11"/>
          <w:sz w:val="18"/>
        </w:rPr>
        <w:t> </w:t>
      </w:r>
      <w:r>
        <w:rPr>
          <w:sz w:val="18"/>
        </w:rPr>
        <w:t>goods</w:t>
      </w:r>
      <w:r>
        <w:rPr>
          <w:spacing w:val="-10"/>
          <w:sz w:val="18"/>
        </w:rPr>
        <w:t> </w:t>
      </w:r>
      <w:r>
        <w:rPr>
          <w:sz w:val="18"/>
        </w:rPr>
        <w:t>containing</w:t>
      </w:r>
      <w:r>
        <w:rPr>
          <w:spacing w:val="-11"/>
          <w:sz w:val="18"/>
        </w:rPr>
        <w:t> </w:t>
      </w:r>
      <w:r>
        <w:rPr>
          <w:sz w:val="18"/>
        </w:rPr>
        <w:t>asbestos</w:t>
      </w:r>
      <w:r>
        <w:rPr>
          <w:spacing w:val="-10"/>
          <w:sz w:val="18"/>
        </w:rPr>
        <w:t> </w:t>
      </w:r>
      <w:r>
        <w:rPr>
          <w:sz w:val="18"/>
        </w:rPr>
        <w:t>into</w:t>
      </w:r>
      <w:r>
        <w:rPr>
          <w:spacing w:val="-11"/>
          <w:sz w:val="18"/>
        </w:rPr>
        <w:t> </w:t>
      </w:r>
      <w:r>
        <w:rPr>
          <w:sz w:val="18"/>
        </w:rPr>
        <w:t>Australia</w:t>
      </w:r>
      <w:r>
        <w:rPr>
          <w:spacing w:val="-10"/>
          <w:sz w:val="18"/>
        </w:rPr>
        <w:t> </w:t>
      </w:r>
      <w:r>
        <w:rPr>
          <w:sz w:val="18"/>
        </w:rPr>
        <w:t>is</w:t>
      </w:r>
      <w:r>
        <w:rPr>
          <w:spacing w:val="-11"/>
          <w:sz w:val="18"/>
        </w:rPr>
        <w:t> </w:t>
      </w:r>
      <w:r>
        <w:rPr>
          <w:sz w:val="18"/>
        </w:rPr>
        <w:t>prohibited under</w:t>
      </w:r>
      <w:r>
        <w:rPr>
          <w:spacing w:val="-24"/>
          <w:sz w:val="18"/>
        </w:rPr>
        <w:t> </w:t>
      </w:r>
      <w:r>
        <w:rPr>
          <w:sz w:val="18"/>
        </w:rPr>
        <w:t>the</w:t>
      </w:r>
      <w:r>
        <w:rPr>
          <w:spacing w:val="-23"/>
          <w:sz w:val="18"/>
        </w:rPr>
        <w:t> </w:t>
      </w:r>
      <w:r>
        <w:rPr>
          <w:i/>
          <w:spacing w:val="-3"/>
          <w:sz w:val="18"/>
        </w:rPr>
        <w:t>Customs</w:t>
      </w:r>
      <w:r>
        <w:rPr>
          <w:i/>
          <w:spacing w:val="-26"/>
          <w:sz w:val="18"/>
        </w:rPr>
        <w:t> </w:t>
      </w:r>
      <w:r>
        <w:rPr>
          <w:i/>
          <w:sz w:val="18"/>
        </w:rPr>
        <w:t>(Prohibited</w:t>
      </w:r>
      <w:r>
        <w:rPr>
          <w:i/>
          <w:spacing w:val="-27"/>
          <w:sz w:val="18"/>
        </w:rPr>
        <w:t> </w:t>
      </w:r>
      <w:r>
        <w:rPr>
          <w:i/>
          <w:sz w:val="18"/>
        </w:rPr>
        <w:t>Imports)</w:t>
      </w:r>
      <w:r>
        <w:rPr>
          <w:i/>
          <w:spacing w:val="-26"/>
          <w:sz w:val="18"/>
        </w:rPr>
        <w:t> </w:t>
      </w:r>
      <w:r>
        <w:rPr>
          <w:i/>
          <w:sz w:val="18"/>
        </w:rPr>
        <w:t>Regulations</w:t>
      </w:r>
      <w:r>
        <w:rPr>
          <w:i/>
          <w:spacing w:val="-27"/>
          <w:sz w:val="18"/>
        </w:rPr>
        <w:t> </w:t>
      </w:r>
      <w:r>
        <w:rPr>
          <w:i/>
          <w:spacing w:val="-6"/>
          <w:sz w:val="18"/>
        </w:rPr>
        <w:t>1956 </w:t>
      </w:r>
      <w:r>
        <w:rPr>
          <w:i/>
          <w:spacing w:val="-3"/>
          <w:sz w:val="18"/>
        </w:rPr>
        <w:t>(Customs</w:t>
      </w:r>
      <w:r>
        <w:rPr>
          <w:i/>
          <w:spacing w:val="-14"/>
          <w:sz w:val="18"/>
        </w:rPr>
        <w:t> </w:t>
      </w:r>
      <w:r>
        <w:rPr>
          <w:i/>
          <w:sz w:val="18"/>
        </w:rPr>
        <w:t>Prohibited</w:t>
      </w:r>
      <w:r>
        <w:rPr>
          <w:i/>
          <w:spacing w:val="-14"/>
          <w:sz w:val="18"/>
        </w:rPr>
        <w:t> </w:t>
      </w:r>
      <w:r>
        <w:rPr>
          <w:i/>
          <w:sz w:val="18"/>
        </w:rPr>
        <w:t>Import</w:t>
      </w:r>
      <w:r>
        <w:rPr>
          <w:i/>
          <w:spacing w:val="-13"/>
          <w:sz w:val="18"/>
        </w:rPr>
        <w:t> </w:t>
      </w:r>
      <w:r>
        <w:rPr>
          <w:i/>
          <w:sz w:val="18"/>
        </w:rPr>
        <w:t>Regulations).</w:t>
      </w:r>
    </w:p>
    <w:p>
      <w:pPr>
        <w:pStyle w:val="Heading1"/>
        <w:spacing w:before="145"/>
        <w:ind w:left="785"/>
      </w:pPr>
      <w:r>
        <w:rPr>
          <w:w w:val="90"/>
        </w:rPr>
        <w:t>Action taken</w:t>
      </w:r>
    </w:p>
    <w:p>
      <w:pPr>
        <w:pStyle w:val="BodyText"/>
        <w:spacing w:line="283" w:lineRule="auto" w:before="159"/>
        <w:ind w:left="785"/>
      </w:pPr>
      <w:r>
        <w:rPr/>
        <w:t>During </w:t>
      </w:r>
      <w:r>
        <w:rPr>
          <w:spacing w:val="-7"/>
        </w:rPr>
        <w:t>2013–14 </w:t>
      </w:r>
      <w:r>
        <w:rPr/>
        <w:t>the </w:t>
      </w:r>
      <w:r>
        <w:rPr>
          <w:spacing w:val="-5"/>
        </w:rPr>
        <w:t>ACCC </w:t>
      </w:r>
      <w:r>
        <w:rPr/>
        <w:t>commissioned a scientific risk assessment confirming the wallets contained asbestos and requested a voluntary recall of these fire wallets.</w:t>
      </w:r>
    </w:p>
    <w:p>
      <w:pPr>
        <w:pStyle w:val="BodyText"/>
        <w:spacing w:line="283" w:lineRule="auto" w:before="132"/>
        <w:ind w:left="785" w:right="279"/>
      </w:pPr>
      <w:r>
        <w:rPr/>
        <w:t>The</w:t>
      </w:r>
      <w:r>
        <w:rPr>
          <w:spacing w:val="-11"/>
        </w:rPr>
        <w:t> </w:t>
      </w:r>
      <w:r>
        <w:rPr>
          <w:spacing w:val="-5"/>
        </w:rPr>
        <w:t>ACCC</w:t>
      </w:r>
      <w:r>
        <w:rPr>
          <w:spacing w:val="-11"/>
        </w:rPr>
        <w:t> </w:t>
      </w:r>
      <w:r>
        <w:rPr/>
        <w:t>has</w:t>
      </w:r>
      <w:r>
        <w:rPr>
          <w:spacing w:val="-10"/>
        </w:rPr>
        <w:t> </w:t>
      </w:r>
      <w:r>
        <w:rPr/>
        <w:t>issued</w:t>
      </w:r>
      <w:r>
        <w:rPr>
          <w:spacing w:val="-11"/>
        </w:rPr>
        <w:t> </w:t>
      </w:r>
      <w:r>
        <w:rPr/>
        <w:t>guidelines</w:t>
      </w:r>
      <w:r>
        <w:rPr>
          <w:spacing w:val="-11"/>
        </w:rPr>
        <w:t> </w:t>
      </w:r>
      <w:r>
        <w:rPr/>
        <w:t>for</w:t>
      </w:r>
      <w:r>
        <w:rPr>
          <w:spacing w:val="-10"/>
        </w:rPr>
        <w:t> </w:t>
      </w:r>
      <w:r>
        <w:rPr/>
        <w:t>suppliers</w:t>
      </w:r>
      <w:r>
        <w:rPr>
          <w:spacing w:val="-11"/>
        </w:rPr>
        <w:t> </w:t>
      </w:r>
      <w:r>
        <w:rPr/>
        <w:t>to</w:t>
      </w:r>
      <w:r>
        <w:rPr>
          <w:spacing w:val="-11"/>
        </w:rPr>
        <w:t> </w:t>
      </w:r>
      <w:r>
        <w:rPr/>
        <w:t>initiate their own recalls once a product has been identified as presenting a safety risk. A voluntary recall is communicated</w:t>
      </w:r>
      <w:r>
        <w:rPr>
          <w:spacing w:val="-11"/>
        </w:rPr>
        <w:t> </w:t>
      </w:r>
      <w:r>
        <w:rPr/>
        <w:t>through</w:t>
      </w:r>
      <w:r>
        <w:rPr>
          <w:spacing w:val="-10"/>
        </w:rPr>
        <w:t> </w:t>
      </w:r>
      <w:r>
        <w:rPr/>
        <w:t>a</w:t>
      </w:r>
      <w:r>
        <w:rPr>
          <w:spacing w:val="-10"/>
        </w:rPr>
        <w:t> </w:t>
      </w:r>
      <w:r>
        <w:rPr/>
        <w:t>variety</w:t>
      </w:r>
      <w:r>
        <w:rPr>
          <w:spacing w:val="-10"/>
        </w:rPr>
        <w:t> </w:t>
      </w:r>
      <w:r>
        <w:rPr/>
        <w:t>of</w:t>
      </w:r>
      <w:r>
        <w:rPr>
          <w:spacing w:val="-10"/>
        </w:rPr>
        <w:t> </w:t>
      </w:r>
      <w:r>
        <w:rPr/>
        <w:t>means,</w:t>
      </w:r>
      <w:r>
        <w:rPr>
          <w:spacing w:val="-10"/>
        </w:rPr>
        <w:t> </w:t>
      </w:r>
      <w:r>
        <w:rPr/>
        <w:t>including: media releases, recall notices on supplier’s website and supplier’s networks, social media and contacting consumers. The </w:t>
      </w:r>
      <w:r>
        <w:rPr>
          <w:spacing w:val="-5"/>
        </w:rPr>
        <w:t>ACCC </w:t>
      </w:r>
      <w:r>
        <w:rPr/>
        <w:t>works with stakeholders to encourage</w:t>
      </w:r>
      <w:r>
        <w:rPr>
          <w:spacing w:val="-6"/>
        </w:rPr>
        <w:t> </w:t>
      </w:r>
      <w:r>
        <w:rPr/>
        <w:t>the</w:t>
      </w:r>
      <w:r>
        <w:rPr>
          <w:spacing w:val="-6"/>
        </w:rPr>
        <w:t> </w:t>
      </w:r>
      <w:r>
        <w:rPr/>
        <w:t>supply</w:t>
      </w:r>
      <w:r>
        <w:rPr>
          <w:spacing w:val="-5"/>
        </w:rPr>
        <w:t> </w:t>
      </w:r>
      <w:r>
        <w:rPr/>
        <w:t>of</w:t>
      </w:r>
      <w:r>
        <w:rPr>
          <w:spacing w:val="-6"/>
        </w:rPr>
        <w:t> </w:t>
      </w:r>
      <w:r>
        <w:rPr/>
        <w:t>safe</w:t>
      </w:r>
      <w:r>
        <w:rPr>
          <w:spacing w:val="-5"/>
        </w:rPr>
        <w:t> </w:t>
      </w:r>
      <w:r>
        <w:rPr/>
        <w:t>consumer</w:t>
      </w:r>
      <w:r>
        <w:rPr>
          <w:spacing w:val="-6"/>
        </w:rPr>
        <w:t> </w:t>
      </w:r>
      <w:r>
        <w:rPr/>
        <w:t>products.</w:t>
      </w:r>
    </w:p>
    <w:p>
      <w:pPr>
        <w:pStyle w:val="BodyText"/>
        <w:spacing w:line="283" w:lineRule="auto" w:before="135"/>
        <w:ind w:left="785" w:right="133"/>
      </w:pPr>
      <w:r>
        <w:rPr/>
        <w:t>In</w:t>
      </w:r>
      <w:r>
        <w:rPr>
          <w:spacing w:val="-14"/>
        </w:rPr>
        <w:t> </w:t>
      </w:r>
      <w:r>
        <w:rPr/>
        <w:t>the</w:t>
      </w:r>
      <w:r>
        <w:rPr>
          <w:spacing w:val="-13"/>
        </w:rPr>
        <w:t> </w:t>
      </w:r>
      <w:r>
        <w:rPr/>
        <w:t>case</w:t>
      </w:r>
      <w:r>
        <w:rPr>
          <w:spacing w:val="-13"/>
        </w:rPr>
        <w:t> </w:t>
      </w:r>
      <w:r>
        <w:rPr/>
        <w:t>of</w:t>
      </w:r>
      <w:r>
        <w:rPr>
          <w:spacing w:val="-13"/>
        </w:rPr>
        <w:t> </w:t>
      </w:r>
      <w:r>
        <w:rPr/>
        <w:t>the</w:t>
      </w:r>
      <w:r>
        <w:rPr>
          <w:spacing w:val="-13"/>
        </w:rPr>
        <w:t> </w:t>
      </w:r>
      <w:r>
        <w:rPr/>
        <w:t>voluntary</w:t>
      </w:r>
      <w:r>
        <w:rPr>
          <w:spacing w:val="-13"/>
        </w:rPr>
        <w:t> </w:t>
      </w:r>
      <w:r>
        <w:rPr/>
        <w:t>recall</w:t>
      </w:r>
      <w:r>
        <w:rPr>
          <w:spacing w:val="-13"/>
        </w:rPr>
        <w:t> </w:t>
      </w:r>
      <w:r>
        <w:rPr/>
        <w:t>of</w:t>
      </w:r>
      <w:r>
        <w:rPr>
          <w:spacing w:val="-14"/>
        </w:rPr>
        <w:t> </w:t>
      </w:r>
      <w:r>
        <w:rPr/>
        <w:t>these</w:t>
      </w:r>
      <w:r>
        <w:rPr>
          <w:spacing w:val="-13"/>
        </w:rPr>
        <w:t> </w:t>
      </w:r>
      <w:r>
        <w:rPr/>
        <w:t>fire</w:t>
      </w:r>
      <w:r>
        <w:rPr>
          <w:spacing w:val="-13"/>
        </w:rPr>
        <w:t> </w:t>
      </w:r>
      <w:r>
        <w:rPr/>
        <w:t>wallets</w:t>
      </w:r>
      <w:r>
        <w:rPr>
          <w:spacing w:val="-13"/>
        </w:rPr>
        <w:t> </w:t>
      </w:r>
      <w:r>
        <w:rPr/>
        <w:t>the following steps were also</w:t>
      </w:r>
      <w:r>
        <w:rPr>
          <w:spacing w:val="-14"/>
        </w:rPr>
        <w:t> </w:t>
      </w:r>
      <w:r>
        <w:rPr/>
        <w:t>taken.</w:t>
      </w:r>
    </w:p>
    <w:p>
      <w:pPr>
        <w:pStyle w:val="BodyText"/>
        <w:spacing w:line="283" w:lineRule="auto" w:before="132"/>
        <w:ind w:left="1068" w:hanging="284"/>
      </w:pPr>
      <w:r>
        <w:rPr>
          <w:position w:val="-3"/>
        </w:rPr>
        <w:drawing>
          <wp:inline distT="0" distB="0" distL="0" distR="0">
            <wp:extent cx="71843" cy="111455"/>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1843"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Consumers</w:t>
      </w:r>
      <w:r>
        <w:rPr>
          <w:spacing w:val="-13"/>
        </w:rPr>
        <w:t> </w:t>
      </w:r>
      <w:r>
        <w:rPr/>
        <w:t>were</w:t>
      </w:r>
      <w:r>
        <w:rPr>
          <w:spacing w:val="-13"/>
        </w:rPr>
        <w:t> </w:t>
      </w:r>
      <w:r>
        <w:rPr/>
        <w:t>advised</w:t>
      </w:r>
      <w:r>
        <w:rPr>
          <w:spacing w:val="-12"/>
        </w:rPr>
        <w:t> </w:t>
      </w:r>
      <w:r>
        <w:rPr/>
        <w:t>to</w:t>
      </w:r>
      <w:r>
        <w:rPr>
          <w:spacing w:val="-13"/>
        </w:rPr>
        <w:t> </w:t>
      </w:r>
      <w:r>
        <w:rPr/>
        <w:t>contact</w:t>
      </w:r>
      <w:r>
        <w:rPr>
          <w:spacing w:val="-12"/>
        </w:rPr>
        <w:t> </w:t>
      </w:r>
      <w:r>
        <w:rPr/>
        <w:t>asbestos</w:t>
      </w:r>
      <w:r>
        <w:rPr>
          <w:spacing w:val="-13"/>
        </w:rPr>
        <w:t> </w:t>
      </w:r>
      <w:r>
        <w:rPr/>
        <w:t>disposal facilities to inform the facility that they needed to dispose of a recalled fire wallet that contains a very small amount of asbestos. Consumers were also advised to confirm disposal fees as costs can vary widely.</w:t>
      </w:r>
    </w:p>
    <w:p>
      <w:pPr>
        <w:pStyle w:val="BodyText"/>
        <w:spacing w:line="283" w:lineRule="auto" w:before="135"/>
        <w:ind w:left="1068" w:right="163" w:hanging="284"/>
      </w:pPr>
      <w:r>
        <w:rPr>
          <w:position w:val="-3"/>
        </w:rPr>
        <w:drawing>
          <wp:inline distT="0" distB="0" distL="0" distR="0">
            <wp:extent cx="71843" cy="111455"/>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71843"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Consumers were also advised to ask All Media Collectables</w:t>
      </w:r>
      <w:r>
        <w:rPr>
          <w:spacing w:val="-14"/>
        </w:rPr>
        <w:t> </w:t>
      </w:r>
      <w:r>
        <w:rPr/>
        <w:t>to</w:t>
      </w:r>
      <w:r>
        <w:rPr>
          <w:spacing w:val="-13"/>
        </w:rPr>
        <w:t> </w:t>
      </w:r>
      <w:r>
        <w:rPr/>
        <w:t>reimburse</w:t>
      </w:r>
      <w:r>
        <w:rPr>
          <w:spacing w:val="-14"/>
        </w:rPr>
        <w:t> </w:t>
      </w:r>
      <w:r>
        <w:rPr/>
        <w:t>them</w:t>
      </w:r>
      <w:r>
        <w:rPr>
          <w:spacing w:val="-13"/>
        </w:rPr>
        <w:t> </w:t>
      </w:r>
      <w:r>
        <w:rPr/>
        <w:t>with</w:t>
      </w:r>
      <w:r>
        <w:rPr>
          <w:spacing w:val="-13"/>
        </w:rPr>
        <w:t> </w:t>
      </w:r>
      <w:r>
        <w:rPr/>
        <w:t>any</w:t>
      </w:r>
      <w:r>
        <w:rPr>
          <w:spacing w:val="-14"/>
        </w:rPr>
        <w:t> </w:t>
      </w:r>
      <w:r>
        <w:rPr/>
        <w:t>reasonable disposal</w:t>
      </w:r>
      <w:r>
        <w:rPr>
          <w:spacing w:val="-16"/>
        </w:rPr>
        <w:t> </w:t>
      </w:r>
      <w:r>
        <w:rPr/>
        <w:t>costs</w:t>
      </w:r>
      <w:r>
        <w:rPr>
          <w:spacing w:val="-15"/>
        </w:rPr>
        <w:t> </w:t>
      </w:r>
      <w:r>
        <w:rPr/>
        <w:t>and</w:t>
      </w:r>
      <w:r>
        <w:rPr>
          <w:spacing w:val="-16"/>
        </w:rPr>
        <w:t> </w:t>
      </w:r>
      <w:r>
        <w:rPr/>
        <w:t>to</w:t>
      </w:r>
      <w:r>
        <w:rPr>
          <w:spacing w:val="-15"/>
        </w:rPr>
        <w:t> </w:t>
      </w:r>
      <w:r>
        <w:rPr/>
        <w:t>retain</w:t>
      </w:r>
      <w:r>
        <w:rPr>
          <w:spacing w:val="-16"/>
        </w:rPr>
        <w:t> </w:t>
      </w:r>
      <w:r>
        <w:rPr/>
        <w:t>receipts</w:t>
      </w:r>
      <w:r>
        <w:rPr>
          <w:spacing w:val="-15"/>
        </w:rPr>
        <w:t> </w:t>
      </w:r>
      <w:r>
        <w:rPr/>
        <w:t>for</w:t>
      </w:r>
      <w:r>
        <w:rPr>
          <w:spacing w:val="-15"/>
        </w:rPr>
        <w:t> </w:t>
      </w:r>
      <w:r>
        <w:rPr/>
        <w:t>this</w:t>
      </w:r>
      <w:r>
        <w:rPr>
          <w:spacing w:val="-16"/>
        </w:rPr>
        <w:t> </w:t>
      </w:r>
      <w:r>
        <w:rPr/>
        <w:t>purpose. All</w:t>
      </w:r>
      <w:r>
        <w:rPr>
          <w:spacing w:val="-21"/>
        </w:rPr>
        <w:t> </w:t>
      </w:r>
      <w:r>
        <w:rPr/>
        <w:t>Media</w:t>
      </w:r>
      <w:r>
        <w:rPr>
          <w:spacing w:val="-21"/>
        </w:rPr>
        <w:t> </w:t>
      </w:r>
      <w:r>
        <w:rPr/>
        <w:t>Collectables</w:t>
      </w:r>
      <w:r>
        <w:rPr>
          <w:spacing w:val="-20"/>
        </w:rPr>
        <w:t> </w:t>
      </w:r>
      <w:r>
        <w:rPr/>
        <w:t>offered</w:t>
      </w:r>
      <w:r>
        <w:rPr>
          <w:spacing w:val="-21"/>
        </w:rPr>
        <w:t> </w:t>
      </w:r>
      <w:r>
        <w:rPr/>
        <w:t>a</w:t>
      </w:r>
      <w:r>
        <w:rPr>
          <w:spacing w:val="-20"/>
        </w:rPr>
        <w:t> </w:t>
      </w:r>
      <w:r>
        <w:rPr/>
        <w:t>refund/replacement under the recall of these</w:t>
      </w:r>
      <w:r>
        <w:rPr>
          <w:spacing w:val="-15"/>
        </w:rPr>
        <w:t> </w:t>
      </w:r>
      <w:r>
        <w:rPr/>
        <w:t>goods.</w:t>
      </w:r>
    </w:p>
    <w:p>
      <w:pPr>
        <w:pStyle w:val="BodyText"/>
        <w:spacing w:line="283" w:lineRule="auto" w:before="98"/>
        <w:ind w:left="1984" w:right="713" w:hanging="284"/>
      </w:pPr>
      <w:r>
        <w:rPr/>
        <w:br w:type="column"/>
      </w:r>
      <w:r>
        <w:rPr>
          <w:position w:val="-3"/>
        </w:rPr>
        <w:drawing>
          <wp:inline distT="0" distB="0" distL="0" distR="0">
            <wp:extent cx="71856" cy="111455"/>
            <wp:effectExtent l="0" t="0" r="0" b="0"/>
            <wp:docPr id="5" name="image1.png" descr=""/>
            <wp:cNvGraphicFramePr>
              <a:graphicFrameLocks noChangeAspect="1"/>
            </wp:cNvGraphicFramePr>
            <a:graphic>
              <a:graphicData uri="http://schemas.openxmlformats.org/drawingml/2006/picture">
                <pic:pic>
                  <pic:nvPicPr>
                    <pic:cNvPr id="6" name="image1.png"/>
                    <pic:cNvPicPr/>
                  </pic:nvPicPr>
                  <pic:blipFill>
                    <a:blip r:embed="rId5" cstate="print"/>
                    <a:stretch>
                      <a:fillRect/>
                    </a:stretch>
                  </pic:blipFill>
                  <pic:spPr>
                    <a:xfrm>
                      <a:off x="0" y="0"/>
                      <a:ext cx="71856"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The wallets were to be double-bagged</w:t>
      </w:r>
      <w:r>
        <w:rPr>
          <w:spacing w:val="-29"/>
        </w:rPr>
        <w:t> </w:t>
      </w:r>
      <w:r>
        <w:rPr/>
        <w:t>prior to</w:t>
      </w:r>
      <w:r>
        <w:rPr>
          <w:spacing w:val="-10"/>
        </w:rPr>
        <w:t> </w:t>
      </w:r>
      <w:r>
        <w:rPr/>
        <w:t>disposal</w:t>
      </w:r>
      <w:r>
        <w:rPr>
          <w:spacing w:val="-10"/>
        </w:rPr>
        <w:t> </w:t>
      </w:r>
      <w:r>
        <w:rPr/>
        <w:t>and</w:t>
      </w:r>
      <w:r>
        <w:rPr>
          <w:spacing w:val="-10"/>
        </w:rPr>
        <w:t> </w:t>
      </w:r>
      <w:r>
        <w:rPr/>
        <w:t>were</w:t>
      </w:r>
      <w:r>
        <w:rPr>
          <w:spacing w:val="-10"/>
        </w:rPr>
        <w:t> </w:t>
      </w:r>
      <w:r>
        <w:rPr/>
        <w:t>not</w:t>
      </w:r>
      <w:r>
        <w:rPr>
          <w:spacing w:val="-10"/>
        </w:rPr>
        <w:t> </w:t>
      </w:r>
      <w:r>
        <w:rPr/>
        <w:t>to</w:t>
      </w:r>
      <w:r>
        <w:rPr>
          <w:spacing w:val="-10"/>
        </w:rPr>
        <w:t> </w:t>
      </w:r>
      <w:r>
        <w:rPr/>
        <w:t>be</w:t>
      </w:r>
      <w:r>
        <w:rPr>
          <w:spacing w:val="-10"/>
        </w:rPr>
        <w:t> </w:t>
      </w:r>
      <w:r>
        <w:rPr/>
        <w:t>sent</w:t>
      </w:r>
      <w:r>
        <w:rPr>
          <w:spacing w:val="-10"/>
        </w:rPr>
        <w:t> </w:t>
      </w:r>
      <w:r>
        <w:rPr/>
        <w:t>via</w:t>
      </w:r>
      <w:r>
        <w:rPr>
          <w:spacing w:val="-10"/>
        </w:rPr>
        <w:t> </w:t>
      </w:r>
      <w:r>
        <w:rPr/>
        <w:t>mail.</w:t>
      </w:r>
    </w:p>
    <w:p>
      <w:pPr>
        <w:pStyle w:val="BodyText"/>
        <w:spacing w:line="283" w:lineRule="auto" w:before="131"/>
        <w:ind w:left="1984" w:right="269" w:hanging="284"/>
      </w:pPr>
      <w:r>
        <w:rPr/>
        <w:pict>
          <v:group style="position:absolute;margin-left:0pt;margin-top:-24.13109pt;width:595.3pt;height:38.35pt;mso-position-horizontal-relative:page;mso-position-vertical-relative:paragraph;z-index:1096" coordorigin="0,-483" coordsize="11906,767">
            <v:rect style="position:absolute;left:0;top:-483;width:11906;height:767" filled="true" fillcolor="#00a1e0" stroked="false">
              <v:fill type="solid"/>
            </v:rect>
            <v:shapetype id="_x0000_t202" o:spt="202" coordsize="21600,21600" path="m,l,21600r21600,l21600,xe">
              <v:stroke joinstyle="miter"/>
              <v:path gradientshapeok="t" o:connecttype="rect"/>
            </v:shapetype>
            <v:shape style="position:absolute;left:0;top:-483;width:11906;height:767" type="#_x0000_t202" filled="false" stroked="false">
              <v:textbox inset="0,0,0,0">
                <w:txbxContent>
                  <w:p>
                    <w:pPr>
                      <w:spacing w:line="223" w:lineRule="auto" w:before="83"/>
                      <w:ind w:left="1700" w:right="3346" w:firstLine="0"/>
                      <w:jc w:val="left"/>
                      <w:rPr>
                        <w:rFonts w:ascii="Arial" w:hAnsi="Arial"/>
                        <w:sz w:val="28"/>
                      </w:rPr>
                    </w:pPr>
                    <w:r>
                      <w:rPr>
                        <w:rFonts w:ascii="Arial" w:hAnsi="Arial"/>
                        <w:color w:val="FFFFFF"/>
                        <w:w w:val="80"/>
                        <w:sz w:val="28"/>
                      </w:rPr>
                      <w:t>Australian Competition and Consumer Commission (ACCC) – </w:t>
                    </w:r>
                    <w:r>
                      <w:rPr>
                        <w:rFonts w:ascii="Arial" w:hAnsi="Arial"/>
                        <w:color w:val="FFFFFF"/>
                        <w:w w:val="85"/>
                        <w:sz w:val="28"/>
                      </w:rPr>
                      <w:t>Hazard Analysis and Management of Novelty Fire Wallets</w:t>
                    </w:r>
                  </w:p>
                </w:txbxContent>
              </v:textbox>
              <w10:wrap type="none"/>
            </v:shape>
            <w10:wrap type="none"/>
          </v:group>
        </w:pict>
      </w:r>
      <w:r>
        <w:rPr>
          <w:position w:val="-3"/>
        </w:rPr>
        <w:drawing>
          <wp:inline distT="0" distB="0" distL="0" distR="0">
            <wp:extent cx="71856" cy="111455"/>
            <wp:effectExtent l="0" t="0" r="0" b="0"/>
            <wp:docPr id="7" name="image1.png" descr=""/>
            <wp:cNvGraphicFramePr>
              <a:graphicFrameLocks noChangeAspect="1"/>
            </wp:cNvGraphicFramePr>
            <a:graphic>
              <a:graphicData uri="http://schemas.openxmlformats.org/drawingml/2006/picture">
                <pic:pic>
                  <pic:nvPicPr>
                    <pic:cNvPr id="8" name="image1.png"/>
                    <pic:cNvPicPr/>
                  </pic:nvPicPr>
                  <pic:blipFill>
                    <a:blip r:embed="rId5" cstate="print"/>
                    <a:stretch>
                      <a:fillRect/>
                    </a:stretch>
                  </pic:blipFill>
                  <pic:spPr>
                    <a:xfrm>
                      <a:off x="0" y="0"/>
                      <a:ext cx="71856"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Consumers</w:t>
      </w:r>
      <w:r>
        <w:rPr>
          <w:spacing w:val="-5"/>
        </w:rPr>
        <w:t> </w:t>
      </w:r>
      <w:r>
        <w:rPr/>
        <w:t>could</w:t>
      </w:r>
      <w:r>
        <w:rPr>
          <w:spacing w:val="-5"/>
        </w:rPr>
        <w:t> </w:t>
      </w:r>
      <w:r>
        <w:rPr/>
        <w:t>also</w:t>
      </w:r>
      <w:r>
        <w:rPr>
          <w:spacing w:val="-5"/>
        </w:rPr>
        <w:t> </w:t>
      </w:r>
      <w:r>
        <w:rPr/>
        <w:t>contact</w:t>
      </w:r>
      <w:r>
        <w:rPr>
          <w:spacing w:val="-5"/>
        </w:rPr>
        <w:t> </w:t>
      </w:r>
      <w:r>
        <w:rPr/>
        <w:t>the</w:t>
      </w:r>
      <w:r>
        <w:rPr>
          <w:spacing w:val="-4"/>
        </w:rPr>
        <w:t> </w:t>
      </w:r>
      <w:r>
        <w:rPr>
          <w:spacing w:val="-5"/>
        </w:rPr>
        <w:t>ACCC </w:t>
      </w:r>
      <w:r>
        <w:rPr/>
        <w:t>if</w:t>
      </w:r>
      <w:r>
        <w:rPr>
          <w:spacing w:val="-5"/>
        </w:rPr>
        <w:t> </w:t>
      </w:r>
      <w:r>
        <w:rPr/>
        <w:t>they</w:t>
      </w:r>
      <w:r>
        <w:rPr>
          <w:spacing w:val="-5"/>
        </w:rPr>
        <w:t> </w:t>
      </w:r>
      <w:r>
        <w:rPr/>
        <w:t>had any queries or concerns about</w:t>
      </w:r>
      <w:r>
        <w:rPr>
          <w:spacing w:val="-24"/>
        </w:rPr>
        <w:t> </w:t>
      </w:r>
      <w:r>
        <w:rPr/>
        <w:t>disposal.</w:t>
      </w:r>
    </w:p>
    <w:p>
      <w:pPr>
        <w:pStyle w:val="BodyText"/>
        <w:spacing w:line="283" w:lineRule="auto" w:before="132"/>
        <w:ind w:left="1700" w:right="269"/>
      </w:pPr>
      <w:r>
        <w:rPr/>
        <w:t>The </w:t>
      </w:r>
      <w:r>
        <w:rPr>
          <w:spacing w:val="-5"/>
        </w:rPr>
        <w:t>ACCC </w:t>
      </w:r>
      <w:r>
        <w:rPr/>
        <w:t>continues to periodically monitor the market as</w:t>
      </w:r>
      <w:r>
        <w:rPr>
          <w:spacing w:val="-14"/>
        </w:rPr>
        <w:t> </w:t>
      </w:r>
      <w:r>
        <w:rPr/>
        <w:t>part</w:t>
      </w:r>
      <w:r>
        <w:rPr>
          <w:spacing w:val="-13"/>
        </w:rPr>
        <w:t> </w:t>
      </w:r>
      <w:r>
        <w:rPr/>
        <w:t>of</w:t>
      </w:r>
      <w:r>
        <w:rPr>
          <w:spacing w:val="-13"/>
        </w:rPr>
        <w:t> </w:t>
      </w:r>
      <w:r>
        <w:rPr/>
        <w:t>routine</w:t>
      </w:r>
      <w:r>
        <w:rPr>
          <w:spacing w:val="-13"/>
        </w:rPr>
        <w:t> </w:t>
      </w:r>
      <w:r>
        <w:rPr/>
        <w:t>surveillance</w:t>
      </w:r>
      <w:r>
        <w:rPr>
          <w:spacing w:val="-13"/>
        </w:rPr>
        <w:t> </w:t>
      </w:r>
      <w:r>
        <w:rPr/>
        <w:t>operations.</w:t>
      </w:r>
      <w:r>
        <w:rPr>
          <w:spacing w:val="-13"/>
        </w:rPr>
        <w:t> </w:t>
      </w:r>
      <w:r>
        <w:rPr/>
        <w:t>In</w:t>
      </w:r>
      <w:r>
        <w:rPr>
          <w:spacing w:val="-13"/>
        </w:rPr>
        <w:t> </w:t>
      </w:r>
      <w:r>
        <w:rPr/>
        <w:t>December </w:t>
      </w:r>
      <w:r>
        <w:rPr>
          <w:spacing w:val="-7"/>
        </w:rPr>
        <w:t>2017 </w:t>
      </w:r>
      <w:r>
        <w:rPr/>
        <w:t>and January </w:t>
      </w:r>
      <w:r>
        <w:rPr>
          <w:spacing w:val="-5"/>
        </w:rPr>
        <w:t>2018 </w:t>
      </w:r>
      <w:r>
        <w:rPr/>
        <w:t>the </w:t>
      </w:r>
      <w:r>
        <w:rPr>
          <w:spacing w:val="-5"/>
        </w:rPr>
        <w:t>ACCC </w:t>
      </w:r>
      <w:r>
        <w:rPr/>
        <w:t>identified and purchased</w:t>
      </w:r>
      <w:r>
        <w:rPr>
          <w:spacing w:val="-19"/>
        </w:rPr>
        <w:t> </w:t>
      </w:r>
      <w:r>
        <w:rPr/>
        <w:t>seven</w:t>
      </w:r>
      <w:r>
        <w:rPr>
          <w:spacing w:val="-19"/>
        </w:rPr>
        <w:t> </w:t>
      </w:r>
      <w:r>
        <w:rPr/>
        <w:t>fire</w:t>
      </w:r>
      <w:r>
        <w:rPr>
          <w:spacing w:val="-18"/>
        </w:rPr>
        <w:t> </w:t>
      </w:r>
      <w:r>
        <w:rPr/>
        <w:t>wallets</w:t>
      </w:r>
      <w:r>
        <w:rPr>
          <w:spacing w:val="-19"/>
        </w:rPr>
        <w:t> </w:t>
      </w:r>
      <w:r>
        <w:rPr/>
        <w:t>from</w:t>
      </w:r>
      <w:r>
        <w:rPr>
          <w:spacing w:val="-18"/>
        </w:rPr>
        <w:t> </w:t>
      </w:r>
      <w:r>
        <w:rPr/>
        <w:t>various</w:t>
      </w:r>
      <w:r>
        <w:rPr>
          <w:spacing w:val="-19"/>
        </w:rPr>
        <w:t> </w:t>
      </w:r>
      <w:r>
        <w:rPr/>
        <w:t>eBay</w:t>
      </w:r>
      <w:r>
        <w:rPr>
          <w:spacing w:val="-18"/>
        </w:rPr>
        <w:t> </w:t>
      </w:r>
      <w:r>
        <w:rPr/>
        <w:t>suppliers located</w:t>
      </w:r>
      <w:r>
        <w:rPr>
          <w:spacing w:val="-15"/>
        </w:rPr>
        <w:t> </w:t>
      </w:r>
      <w:r>
        <w:rPr/>
        <w:t>in</w:t>
      </w:r>
      <w:r>
        <w:rPr>
          <w:spacing w:val="-15"/>
        </w:rPr>
        <w:t> </w:t>
      </w:r>
      <w:r>
        <w:rPr/>
        <w:t>Australia</w:t>
      </w:r>
      <w:r>
        <w:rPr>
          <w:spacing w:val="-15"/>
        </w:rPr>
        <w:t> </w:t>
      </w:r>
      <w:r>
        <w:rPr>
          <w:spacing w:val="-3"/>
        </w:rPr>
        <w:t>(NSW,</w:t>
      </w:r>
      <w:r>
        <w:rPr>
          <w:spacing w:val="-15"/>
        </w:rPr>
        <w:t> </w:t>
      </w:r>
      <w:r>
        <w:rPr/>
        <w:t>NT</w:t>
      </w:r>
      <w:r>
        <w:rPr>
          <w:spacing w:val="-15"/>
        </w:rPr>
        <w:t> </w:t>
      </w:r>
      <w:r>
        <w:rPr/>
        <w:t>and</w:t>
      </w:r>
      <w:r>
        <w:rPr>
          <w:spacing w:val="-15"/>
        </w:rPr>
        <w:t> </w:t>
      </w:r>
      <w:r>
        <w:rPr/>
        <w:t>Qld.).</w:t>
      </w:r>
      <w:r>
        <w:rPr>
          <w:spacing w:val="-15"/>
        </w:rPr>
        <w:t> </w:t>
      </w:r>
      <w:r>
        <w:rPr/>
        <w:t>Each</w:t>
      </w:r>
      <w:r>
        <w:rPr>
          <w:spacing w:val="-15"/>
        </w:rPr>
        <w:t> </w:t>
      </w:r>
      <w:r>
        <w:rPr/>
        <w:t>wallet</w:t>
      </w:r>
      <w:r>
        <w:rPr>
          <w:spacing w:val="-15"/>
        </w:rPr>
        <w:t> </w:t>
      </w:r>
      <w:r>
        <w:rPr/>
        <w:t>was examined</w:t>
      </w:r>
      <w:r>
        <w:rPr>
          <w:spacing w:val="-11"/>
        </w:rPr>
        <w:t> </w:t>
      </w:r>
      <w:r>
        <w:rPr/>
        <w:t>by</w:t>
      </w:r>
      <w:r>
        <w:rPr>
          <w:spacing w:val="-11"/>
        </w:rPr>
        <w:t> </w:t>
      </w:r>
      <w:r>
        <w:rPr/>
        <w:t>a</w:t>
      </w:r>
      <w:r>
        <w:rPr>
          <w:spacing w:val="-11"/>
        </w:rPr>
        <w:t> </w:t>
      </w:r>
      <w:r>
        <w:rPr>
          <w:spacing w:val="-7"/>
        </w:rPr>
        <w:t>NATA</w:t>
      </w:r>
      <w:r>
        <w:rPr>
          <w:spacing w:val="-10"/>
        </w:rPr>
        <w:t> </w:t>
      </w:r>
      <w:r>
        <w:rPr/>
        <w:t>accredited</w:t>
      </w:r>
      <w:r>
        <w:rPr>
          <w:spacing w:val="-11"/>
        </w:rPr>
        <w:t> </w:t>
      </w:r>
      <w:r>
        <w:rPr/>
        <w:t>laboratory</w:t>
      </w:r>
      <w:r>
        <w:rPr>
          <w:spacing w:val="-11"/>
        </w:rPr>
        <w:t> </w:t>
      </w:r>
      <w:r>
        <w:rPr/>
        <w:t>by</w:t>
      </w:r>
      <w:r>
        <w:rPr>
          <w:spacing w:val="-11"/>
        </w:rPr>
        <w:t> </w:t>
      </w:r>
      <w:r>
        <w:rPr/>
        <w:t>Polarised Light Microscopy with Dispersion Staining (PLM/DS) using</w:t>
      </w:r>
      <w:r>
        <w:rPr>
          <w:spacing w:val="-6"/>
        </w:rPr>
        <w:t> </w:t>
      </w:r>
      <w:r>
        <w:rPr/>
        <w:t>methods</w:t>
      </w:r>
      <w:r>
        <w:rPr>
          <w:spacing w:val="-6"/>
        </w:rPr>
        <w:t> </w:t>
      </w:r>
      <w:r>
        <w:rPr/>
        <w:t>of</w:t>
      </w:r>
      <w:r>
        <w:rPr>
          <w:spacing w:val="-5"/>
        </w:rPr>
        <w:t> </w:t>
      </w:r>
      <w:r>
        <w:rPr/>
        <w:t>AS</w:t>
      </w:r>
      <w:r>
        <w:rPr>
          <w:spacing w:val="-6"/>
        </w:rPr>
        <w:t> </w:t>
      </w:r>
      <w:r>
        <w:rPr/>
        <w:t>4964</w:t>
      </w:r>
      <w:r>
        <w:rPr>
          <w:spacing w:val="-6"/>
        </w:rPr>
        <w:t> </w:t>
      </w:r>
      <w:r>
        <w:rPr/>
        <w:t>and</w:t>
      </w:r>
      <w:r>
        <w:rPr>
          <w:spacing w:val="-5"/>
        </w:rPr>
        <w:t> </w:t>
      </w:r>
      <w:r>
        <w:rPr/>
        <w:t>supplementary</w:t>
      </w:r>
      <w:r>
        <w:rPr>
          <w:spacing w:val="-6"/>
        </w:rPr>
        <w:t> </w:t>
      </w:r>
      <w:r>
        <w:rPr/>
        <w:t>in-house instructions.</w:t>
      </w:r>
    </w:p>
    <w:p>
      <w:pPr>
        <w:pStyle w:val="Heading1"/>
        <w:spacing w:before="145"/>
      </w:pPr>
      <w:r>
        <w:rPr>
          <w:w w:val="90"/>
        </w:rPr>
        <w:t>Results</w:t>
      </w:r>
    </w:p>
    <w:p>
      <w:pPr>
        <w:pStyle w:val="BodyText"/>
        <w:spacing w:line="283" w:lineRule="auto" w:before="159"/>
        <w:ind w:left="1700" w:right="305"/>
      </w:pPr>
      <w:r>
        <w:rPr/>
        <w:t>The scientific risk assessment of the </w:t>
      </w:r>
      <w:r>
        <w:rPr>
          <w:spacing w:val="-7"/>
        </w:rPr>
        <w:t>2013–14 </w:t>
      </w:r>
      <w:r>
        <w:rPr/>
        <w:t>recalled fire wallets were found to contain asbestos. That risk assessment</w:t>
      </w:r>
      <w:r>
        <w:rPr>
          <w:spacing w:val="-15"/>
        </w:rPr>
        <w:t> </w:t>
      </w:r>
      <w:r>
        <w:rPr/>
        <w:t>concluded</w:t>
      </w:r>
      <w:r>
        <w:rPr>
          <w:spacing w:val="-15"/>
        </w:rPr>
        <w:t> </w:t>
      </w:r>
      <w:r>
        <w:rPr/>
        <w:t>that</w:t>
      </w:r>
      <w:r>
        <w:rPr>
          <w:spacing w:val="-15"/>
        </w:rPr>
        <w:t> </w:t>
      </w:r>
      <w:r>
        <w:rPr/>
        <w:t>the</w:t>
      </w:r>
      <w:r>
        <w:rPr>
          <w:spacing w:val="-15"/>
        </w:rPr>
        <w:t> </w:t>
      </w:r>
      <w:r>
        <w:rPr/>
        <w:t>health</w:t>
      </w:r>
      <w:r>
        <w:rPr>
          <w:spacing w:val="-15"/>
        </w:rPr>
        <w:t> </w:t>
      </w:r>
      <w:r>
        <w:rPr/>
        <w:t>risk</w:t>
      </w:r>
      <w:r>
        <w:rPr>
          <w:spacing w:val="-15"/>
        </w:rPr>
        <w:t> </w:t>
      </w:r>
      <w:r>
        <w:rPr/>
        <w:t>from</w:t>
      </w:r>
      <w:r>
        <w:rPr>
          <w:spacing w:val="-15"/>
        </w:rPr>
        <w:t> </w:t>
      </w:r>
      <w:r>
        <w:rPr/>
        <w:t>the</w:t>
      </w:r>
      <w:r>
        <w:rPr>
          <w:spacing w:val="-15"/>
        </w:rPr>
        <w:t> </w:t>
      </w:r>
      <w:r>
        <w:rPr/>
        <w:t>use, handling or disposal of these products presented low risk; however, the Australian Consumer Law together with environmental protection laws apply to all ACMs regardless of the</w:t>
      </w:r>
      <w:r>
        <w:rPr>
          <w:spacing w:val="-10"/>
        </w:rPr>
        <w:t> </w:t>
      </w:r>
      <w:r>
        <w:rPr/>
        <w:t>levels.</w:t>
      </w:r>
    </w:p>
    <w:p>
      <w:pPr>
        <w:pStyle w:val="BodyText"/>
        <w:spacing w:before="3"/>
        <w:rPr>
          <w:sz w:val="25"/>
        </w:rPr>
      </w:pPr>
    </w:p>
    <w:p>
      <w:pPr>
        <w:pStyle w:val="BodyText"/>
        <w:spacing w:before="1"/>
        <w:ind w:left="1700"/>
      </w:pPr>
      <w:r>
        <w:rPr/>
        <w:drawing>
          <wp:anchor distT="0" distB="0" distL="0" distR="0" allowOverlap="1" layoutInCell="1" locked="0" behindDoc="0" simplePos="0" relativeHeight="1048">
            <wp:simplePos x="0" y="0"/>
            <wp:positionH relativeFrom="page">
              <wp:posOffset>8640000</wp:posOffset>
            </wp:positionH>
            <wp:positionV relativeFrom="paragraph">
              <wp:posOffset>233053</wp:posOffset>
            </wp:positionV>
            <wp:extent cx="3675341" cy="2922295"/>
            <wp:effectExtent l="0" t="0" r="0" b="0"/>
            <wp:wrapNone/>
            <wp:docPr id="9" name="image3.jpeg" descr=""/>
            <wp:cNvGraphicFramePr>
              <a:graphicFrameLocks noChangeAspect="1"/>
            </wp:cNvGraphicFramePr>
            <a:graphic>
              <a:graphicData uri="http://schemas.openxmlformats.org/drawingml/2006/picture">
                <pic:pic>
                  <pic:nvPicPr>
                    <pic:cNvPr id="10" name="image3.jpeg"/>
                    <pic:cNvPicPr/>
                  </pic:nvPicPr>
                  <pic:blipFill>
                    <a:blip r:embed="rId7" cstate="print"/>
                    <a:stretch>
                      <a:fillRect/>
                    </a:stretch>
                  </pic:blipFill>
                  <pic:spPr>
                    <a:xfrm>
                      <a:off x="0" y="0"/>
                      <a:ext cx="3675341" cy="2922295"/>
                    </a:xfrm>
                    <a:prstGeom prst="rect">
                      <a:avLst/>
                    </a:prstGeom>
                  </pic:spPr>
                </pic:pic>
              </a:graphicData>
            </a:graphic>
          </wp:anchor>
        </w:drawing>
      </w:r>
      <w:r>
        <w:rPr/>
        <w:t>Figure</w:t>
      </w:r>
      <w:r>
        <w:rPr>
          <w:spacing w:val="-9"/>
        </w:rPr>
        <w:t> </w:t>
      </w:r>
      <w:r>
        <w:rPr>
          <w:spacing w:val="-7"/>
        </w:rPr>
        <w:t>17:</w:t>
      </w:r>
      <w:r>
        <w:rPr>
          <w:spacing w:val="-14"/>
        </w:rPr>
        <w:t> </w:t>
      </w:r>
      <w:r>
        <w:rPr/>
        <w:t>Fire</w:t>
      </w:r>
      <w:r>
        <w:rPr>
          <w:spacing w:val="-7"/>
        </w:rPr>
        <w:t> </w:t>
      </w:r>
      <w:r>
        <w:rPr/>
        <w:t>wallet</w:t>
      </w:r>
      <w:r>
        <w:rPr>
          <w:spacing w:val="-7"/>
        </w:rPr>
        <w:t> </w:t>
      </w:r>
      <w:r>
        <w:rPr/>
        <w:t>showing</w:t>
      </w:r>
      <w:r>
        <w:rPr>
          <w:spacing w:val="-7"/>
        </w:rPr>
        <w:t> </w:t>
      </w:r>
      <w:r>
        <w:rPr/>
        <w:t>asbestos</w:t>
      </w:r>
      <w:r>
        <w:rPr>
          <w:spacing w:val="-7"/>
        </w:rPr>
        <w:t> </w:t>
      </w:r>
      <w:r>
        <w:rPr/>
        <w:t>lined</w:t>
      </w:r>
      <w:r>
        <w:rPr>
          <w:spacing w:val="-8"/>
        </w:rPr>
        <w:t> </w:t>
      </w:r>
      <w:r>
        <w:rPr/>
        <w:t>absorbent</w:t>
      </w:r>
      <w:r>
        <w:rPr>
          <w:spacing w:val="-7"/>
        </w:rPr>
        <w:t> </w:t>
      </w:r>
      <w:r>
        <w:rPr/>
        <w:t>pad</w:t>
      </w:r>
    </w:p>
    <w:p>
      <w:pPr>
        <w:pStyle w:val="BodyText"/>
        <w:spacing w:line="283" w:lineRule="auto" w:before="97"/>
        <w:ind w:left="138" w:right="707"/>
      </w:pPr>
      <w:r>
        <w:rPr/>
        <w:br w:type="column"/>
      </w:r>
      <w:r>
        <w:rPr/>
        <w:t>The results of the wallets examined by a </w:t>
      </w:r>
      <w:r>
        <w:rPr>
          <w:spacing w:val="-7"/>
        </w:rPr>
        <w:t>NATA </w:t>
      </w:r>
      <w:r>
        <w:rPr/>
        <w:t>accredited laboratory in </w:t>
      </w:r>
      <w:r>
        <w:rPr>
          <w:spacing w:val="-7"/>
        </w:rPr>
        <w:t>2017 </w:t>
      </w:r>
      <w:r>
        <w:rPr/>
        <w:t>showed that no asbestos was detected. The laboratory disposed of the samples </w:t>
      </w:r>
      <w:r>
        <w:rPr>
          <w:spacing w:val="-3"/>
        </w:rPr>
        <w:t>safely.</w:t>
      </w:r>
    </w:p>
    <w:p>
      <w:pPr>
        <w:pStyle w:val="Heading1"/>
        <w:spacing w:before="142"/>
        <w:ind w:left="138"/>
      </w:pPr>
      <w:r>
        <w:rPr>
          <w:w w:val="90"/>
        </w:rPr>
        <w:t>Outcomes</w:t>
      </w:r>
    </w:p>
    <w:p>
      <w:pPr>
        <w:pStyle w:val="BodyText"/>
        <w:spacing w:line="283" w:lineRule="auto" w:before="160"/>
        <w:ind w:left="421" w:right="987" w:hanging="284"/>
        <w:jc w:val="both"/>
      </w:pPr>
      <w:r>
        <w:rPr>
          <w:position w:val="-3"/>
        </w:rPr>
        <w:drawing>
          <wp:inline distT="0" distB="0" distL="0" distR="0">
            <wp:extent cx="71843" cy="111455"/>
            <wp:effectExtent l="0" t="0" r="0" b="0"/>
            <wp:docPr id="11" name="image2.png" descr=""/>
            <wp:cNvGraphicFramePr>
              <a:graphicFrameLocks noChangeAspect="1"/>
            </wp:cNvGraphicFramePr>
            <a:graphic>
              <a:graphicData uri="http://schemas.openxmlformats.org/drawingml/2006/picture">
                <pic:pic>
                  <pic:nvPicPr>
                    <pic:cNvPr id="12" name="image2.png"/>
                    <pic:cNvPicPr/>
                  </pic:nvPicPr>
                  <pic:blipFill>
                    <a:blip r:embed="rId6" cstate="print"/>
                    <a:stretch>
                      <a:fillRect/>
                    </a:stretch>
                  </pic:blipFill>
                  <pic:spPr>
                    <a:xfrm>
                      <a:off x="0" y="0"/>
                      <a:ext cx="71843" cy="111455"/>
                    </a:xfrm>
                    <a:prstGeom prst="rect">
                      <a:avLst/>
                    </a:prstGeom>
                  </pic:spPr>
                </pic:pic>
              </a:graphicData>
            </a:graphic>
          </wp:inline>
        </w:drawing>
      </w:r>
      <w:r>
        <w:rPr>
          <w:position w:val="-3"/>
        </w:rPr>
      </w:r>
      <w:r>
        <w:rPr>
          <w:rFonts w:ascii="Times New Roman"/>
          <w:sz w:val="20"/>
        </w:rPr>
        <w:t>  </w:t>
      </w:r>
      <w:r>
        <w:rPr>
          <w:rFonts w:ascii="Times New Roman"/>
          <w:spacing w:val="20"/>
          <w:sz w:val="20"/>
        </w:rPr>
        <w:t> </w:t>
      </w:r>
      <w:r>
        <w:rPr/>
        <w:t>Effective</w:t>
      </w:r>
      <w:r>
        <w:rPr>
          <w:spacing w:val="-15"/>
        </w:rPr>
        <w:t> </w:t>
      </w:r>
      <w:r>
        <w:rPr/>
        <w:t>coordinated</w:t>
      </w:r>
      <w:r>
        <w:rPr>
          <w:spacing w:val="-14"/>
        </w:rPr>
        <w:t> </w:t>
      </w:r>
      <w:r>
        <w:rPr/>
        <w:t>response</w:t>
      </w:r>
      <w:r>
        <w:rPr>
          <w:spacing w:val="-14"/>
        </w:rPr>
        <w:t> </w:t>
      </w:r>
      <w:r>
        <w:rPr/>
        <w:t>when</w:t>
      </w:r>
      <w:r>
        <w:rPr>
          <w:spacing w:val="-14"/>
        </w:rPr>
        <w:t> </w:t>
      </w:r>
      <w:r>
        <w:rPr/>
        <w:t>ACMs</w:t>
      </w:r>
      <w:r>
        <w:rPr>
          <w:spacing w:val="-14"/>
        </w:rPr>
        <w:t> </w:t>
      </w:r>
      <w:r>
        <w:rPr/>
        <w:t>are identified</w:t>
      </w:r>
      <w:r>
        <w:rPr>
          <w:spacing w:val="-8"/>
        </w:rPr>
        <w:t> </w:t>
      </w:r>
      <w:r>
        <w:rPr/>
        <w:t>in</w:t>
      </w:r>
      <w:r>
        <w:rPr>
          <w:spacing w:val="-7"/>
        </w:rPr>
        <w:t> </w:t>
      </w:r>
      <w:r>
        <w:rPr/>
        <w:t>imported</w:t>
      </w:r>
      <w:r>
        <w:rPr>
          <w:spacing w:val="-8"/>
        </w:rPr>
        <w:t> </w:t>
      </w:r>
      <w:r>
        <w:rPr/>
        <w:t>products,</w:t>
      </w:r>
      <w:r>
        <w:rPr>
          <w:spacing w:val="-7"/>
        </w:rPr>
        <w:t> </w:t>
      </w:r>
      <w:r>
        <w:rPr/>
        <w:t>supporting</w:t>
      </w:r>
      <w:r>
        <w:rPr>
          <w:spacing w:val="-7"/>
        </w:rPr>
        <w:t> </w:t>
      </w:r>
      <w:r>
        <w:rPr/>
        <w:t>the 2003</w:t>
      </w:r>
      <w:r>
        <w:rPr>
          <w:spacing w:val="-6"/>
        </w:rPr>
        <w:t> </w:t>
      </w:r>
      <w:r>
        <w:rPr/>
        <w:t>ban</w:t>
      </w:r>
      <w:r>
        <w:rPr>
          <w:spacing w:val="-5"/>
        </w:rPr>
        <w:t> </w:t>
      </w:r>
      <w:r>
        <w:rPr/>
        <w:t>on</w:t>
      </w:r>
      <w:r>
        <w:rPr>
          <w:spacing w:val="-5"/>
        </w:rPr>
        <w:t> </w:t>
      </w:r>
      <w:r>
        <w:rPr/>
        <w:t>the</w:t>
      </w:r>
      <w:r>
        <w:rPr>
          <w:spacing w:val="-5"/>
        </w:rPr>
        <w:t> </w:t>
      </w:r>
      <w:r>
        <w:rPr/>
        <w:t>importation</w:t>
      </w:r>
      <w:r>
        <w:rPr>
          <w:spacing w:val="-5"/>
        </w:rPr>
        <w:t> </w:t>
      </w:r>
      <w:r>
        <w:rPr/>
        <w:t>of</w:t>
      </w:r>
      <w:r>
        <w:rPr>
          <w:spacing w:val="-5"/>
        </w:rPr>
        <w:t> </w:t>
      </w:r>
      <w:r>
        <w:rPr/>
        <w:t>all</w:t>
      </w:r>
      <w:r>
        <w:rPr>
          <w:spacing w:val="-5"/>
        </w:rPr>
        <w:t> </w:t>
      </w:r>
      <w:r>
        <w:rPr/>
        <w:t>ACMs</w:t>
      </w:r>
    </w:p>
    <w:p>
      <w:pPr>
        <w:pStyle w:val="Heading1"/>
        <w:spacing w:before="140"/>
        <w:ind w:left="138"/>
      </w:pPr>
      <w:r>
        <w:rPr>
          <w:w w:val="90"/>
        </w:rPr>
        <w:t>Next steps</w:t>
      </w:r>
    </w:p>
    <w:p>
      <w:pPr>
        <w:pStyle w:val="BodyText"/>
        <w:spacing w:line="283" w:lineRule="auto" w:before="160"/>
        <w:ind w:left="138" w:right="706"/>
      </w:pPr>
      <w:r>
        <w:rPr/>
        <w:t>The ACCC applies a risk based approach to scheduling of operational market surveillance and product testing taking into account factors including inherent product risk and market behaviour, informed by most recent testing results. Testing of fire wallets is not scheduled for the 2018–19 financial year; however, the ACCC will continue to respond to intelligence reports.</w:t>
      </w:r>
    </w:p>
    <w:p>
      <w:pPr>
        <w:pStyle w:val="Heading1"/>
        <w:spacing w:before="144"/>
        <w:ind w:left="138"/>
      </w:pPr>
      <w:r>
        <w:rPr>
          <w:w w:val="90"/>
        </w:rPr>
        <w:t>More information</w:t>
      </w:r>
    </w:p>
    <w:p>
      <w:pPr>
        <w:pStyle w:val="BodyText"/>
        <w:spacing w:line="283" w:lineRule="auto" w:before="159"/>
        <w:ind w:left="138" w:right="1058"/>
      </w:pPr>
      <w:r>
        <w:rPr/>
        <w:t>https://</w:t>
      </w:r>
      <w:hyperlink r:id="rId8">
        <w:r>
          <w:rPr/>
          <w:t>www.accc.gov.au/consumers/consumer-</w:t>
        </w:r>
      </w:hyperlink>
      <w:r>
        <w:rPr/>
        <w:t> protection/buying-safe-products</w:t>
      </w:r>
    </w:p>
    <w:p>
      <w:pPr>
        <w:spacing w:after="0" w:line="283" w:lineRule="auto"/>
        <w:sectPr>
          <w:type w:val="continuous"/>
          <w:pgSz w:w="23820" w:h="16840" w:orient="landscape"/>
          <w:pgMar w:top="1120" w:bottom="280" w:left="0" w:right="1020"/>
          <w:cols w:num="4" w:equalWidth="0">
            <w:col w:w="5355" w:space="40"/>
            <w:col w:w="5002" w:space="1509"/>
            <w:col w:w="6002" w:space="39"/>
            <w:col w:w="4853"/>
          </w:cols>
        </w:sectPr>
      </w:pPr>
    </w:p>
    <w:p>
      <w:pPr>
        <w:pStyle w:val="BodyText"/>
        <w:spacing w:before="5"/>
        <w:rPr>
          <w:sz w:val="26"/>
        </w:rPr>
      </w:pPr>
    </w:p>
    <w:p>
      <w:pPr>
        <w:tabs>
          <w:tab w:pos="22540" w:val="left" w:leader="none"/>
        </w:tabs>
        <w:spacing w:before="98"/>
        <w:ind w:left="1133" w:right="0" w:firstLine="0"/>
        <w:jc w:val="left"/>
        <w:rPr>
          <w:sz w:val="14"/>
        </w:rPr>
      </w:pPr>
      <w:r>
        <w:rPr>
          <w:sz w:val="14"/>
        </w:rPr>
        <w:t>24</w:t>
        <w:tab/>
        <w:t>25</w:t>
      </w:r>
    </w:p>
    <w:sectPr>
      <w:type w:val="continuous"/>
      <w:pgSz w:w="23820" w:h="16840" w:orient="landscape"/>
      <w:pgMar w:top="1120" w:bottom="280" w:left="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18"/>
      <w:szCs w:val="18"/>
    </w:rPr>
  </w:style>
  <w:style w:styleId="Heading1" w:type="paragraph">
    <w:name w:val="Heading 1"/>
    <w:basedOn w:val="Normal"/>
    <w:uiPriority w:val="1"/>
    <w:qFormat/>
    <w:pPr>
      <w:ind w:left="1700"/>
      <w:outlineLvl w:val="1"/>
    </w:pPr>
    <w:rPr>
      <w:rFonts w:ascii="Arial" w:hAnsi="Arial" w:eastAsia="Arial" w:cs="Arial"/>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hyperlink" Target="http://www.accc.gov.au/consumers/consu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2018-12-12T01:38:33Z</dcterms:created>
  <dcterms:modified xsi:type="dcterms:W3CDTF">2018-12-12T01:38:33Z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2018-12-12T00:00:00Z</vt:filetime>
  </property>
  <property fmtid="{D5CDD505-2E9C-101B-9397-08002B2CF9AE}" pid="3" name="Creator">
    <vt:lpwstr>Adobe InDesign CC 14.0 (Macintosh)</vt:lpwstr>
  </property>
  <property fmtid="{D5CDD505-2E9C-101B-9397-08002B2CF9AE}" pid="4" name="LastSaved">
    <vt:filetime>2018-12-12T00:00:00Z</vt:filetime>
  </property>
</Properties>
</file>