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3D" w:rsidRDefault="00FC6933">
      <w:pPr>
        <w:pStyle w:val="BodyText"/>
        <w:spacing w:before="11"/>
        <w:rPr>
          <w:rFonts w:ascii="Times New Roman"/>
          <w:sz w:val="8"/>
        </w:rPr>
      </w:pPr>
      <w:r>
        <w:pict>
          <v:group id="_x0000_s1037" style="position:absolute;margin-left:0;margin-top:0;width:595.3pt;height:841.7pt;z-index:-9088;mso-position-horizontal-relative:page;mso-position-vertical-relative:page" coordsize="11906,16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top:808;width:11906;height:11150">
              <v:imagedata r:id="rId4" o:title=""/>
            </v:shape>
            <v:shape id="_x0000_s1053" type="#_x0000_t75" style="position:absolute;width:11906;height:1853">
              <v:imagedata r:id="rId5" o:title=""/>
            </v:shape>
            <v:shape id="_x0000_s1052" style="position:absolute;width:11906;height:1529" coordsize="11906,1529" path="m11905,l,,,1529r5714,l5785,1521r56,-21l5888,1466r42,-46l6236,1047r32,-34l6306,987r44,-17l6399,964r5506,l11905,xe" stroked="f">
              <v:path arrowok="t"/>
            </v:shape>
            <v:shape id="_x0000_s1051" type="#_x0000_t75" style="position:absolute;top:9522;width:11906;height:7311">
              <v:imagedata r:id="rId6" o:title=""/>
            </v:shape>
            <v:shape id="_x0000_s1050" style="position:absolute;left:122;top:10202;width:11642;height:6326" coordorigin="122,10202" coordsize="11642,6326" o:spt="100" adj="0,,0" path="m5850,10202r-5728,l122,16528r11642,l11764,11828r-3941,l7742,11823r-78,-17l7591,11780r-69,-35l7459,11701r-56,-52l7354,11591r,l6474,10515r-54,-62l6366,10397r-56,-50l6250,10304r-65,-36l6114,10240r-78,-21l5948,10207r-98,-5xm7354,11591r,l7354,11591r,xe" stroked="f">
              <v:stroke joinstyle="round"/>
              <v:formulas/>
              <v:path arrowok="t" o:connecttype="segments"/>
            </v:shape>
            <v:shape id="_x0000_s1049" style="position:absolute;left:119;top:13251;width:11672;height:3348" coordorigin="119,13252" coordsize="11672,3348" path="m409,13252r-290,l119,16600r11671,l11790,13889r-10608,l1127,13882r-50,-18l1034,13834r-36,-38l653,13374r-47,-51l553,13284r-64,-24l409,13252xe" fillcolor="#542785" stroked="f">
              <v:path arrowok="t"/>
            </v:shape>
            <v:shape id="_x0000_s1048" type="#_x0000_t75" style="position:absolute;left:119;top:13251;width:11672;height:3348">
              <v:imagedata r:id="rId7" o:title=""/>
            </v:shape>
            <v:shape id="_x0000_s1047" type="#_x0000_t75" style="position:absolute;left:2046;top:741;width:1979;height:146">
              <v:imagedata r:id="rId8" o:title=""/>
            </v:shape>
            <v:shape id="_x0000_s1046" type="#_x0000_t75" style="position:absolute;left:925;top:510;width:1026;height:752">
              <v:imagedata r:id="rId9" o:title=""/>
            </v:shape>
            <v:shape id="_x0000_s1045" type="#_x0000_t75" style="position:absolute;left:2046;top:979;width:3132;height:261">
              <v:imagedata r:id="rId10" o:title=""/>
            </v:shape>
            <v:shape id="_x0000_s1044" style="position:absolute;width:11906;height:16834" coordsize="11906,16834" path="m11906,r-341,l11565,16183r-670,l10620,15908r-275,275l10344,16183r,-628l9940,15555r,628l9879,16183r,-281l9476,15902r,281l340,16183,340,,,,,16183r,650l11906,16833r,-650l11906,e" stroked="f">
              <v:path arrowok="t"/>
            </v:shape>
            <v:rect id="_x0000_s1043" style="position:absolute;left:9990;top:12513;width:1232;height:711" fillcolor="#ed1c24" stroked="f"/>
            <v:shape id="_x0000_s1042" style="position:absolute;left:9733;top:12253;width:472;height:472" coordorigin="9733,12254" coordsize="472,472" path="m9969,12254r-75,12l9830,12299r-51,51l9745,12415r-12,75l9745,12564r34,65l9830,12680r64,33l9969,12725r74,-12l10108,12680r51,-51l10193,12564r12,-74l10193,12415r-34,-65l10108,12299r-65,-33l9969,12254xe" fillcolor="#6f6653" stroked="f">
              <v:path arrowok="t"/>
            </v:shape>
            <v:shape id="_x0000_s1041" type="#_x0000_t75" style="position:absolute;left:10133;top:12669;width:351;height:397">
              <v:imagedata r:id="rId11" o:title=""/>
            </v:shape>
            <v:shape id="_x0000_s1040" type="#_x0000_t75" style="position:absolute;left:10539;top:12678;width:159;height:379">
              <v:imagedata r:id="rId12" o:title=""/>
            </v:shape>
            <v:shape id="_x0000_s1039" type="#_x0000_t75" style="position:absolute;left:10768;top:12678;width:305;height:379">
              <v:imagedata r:id="rId13" o:title=""/>
            </v:shape>
            <v:shape id="_x0000_s1038" type="#_x0000_t75" style="position:absolute;left:9807;top:12385;width:338;height:175">
              <v:imagedata r:id="rId14" o:title=""/>
            </v:shape>
            <w10:wrap anchorx="page" anchory="page"/>
          </v:group>
        </w:pict>
      </w:r>
    </w:p>
    <w:p w:rsidR="00110C3D" w:rsidRDefault="00FC6933">
      <w:pPr>
        <w:spacing w:before="130"/>
        <w:ind w:left="453"/>
        <w:rPr>
          <w:rFonts w:ascii="Arial"/>
          <w:sz w:val="82"/>
        </w:rPr>
      </w:pPr>
      <w:r>
        <w:rPr>
          <w:rFonts w:ascii="Arial"/>
          <w:b/>
          <w:color w:val="FFFFFF"/>
          <w:w w:val="85"/>
          <w:sz w:val="82"/>
        </w:rPr>
        <w:t>ASEA</w:t>
      </w:r>
      <w:r>
        <w:rPr>
          <w:rFonts w:ascii="Arial"/>
          <w:color w:val="FFFFFF"/>
          <w:w w:val="85"/>
          <w:sz w:val="82"/>
        </w:rPr>
        <w:t>REPORTS</w:t>
      </w: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spacing w:before="6"/>
        <w:rPr>
          <w:rFonts w:ascii="Arial"/>
          <w:sz w:val="19"/>
        </w:rPr>
      </w:pPr>
    </w:p>
    <w:p w:rsidR="00110C3D" w:rsidRDefault="00FC6933">
      <w:pPr>
        <w:spacing w:before="117" w:line="228" w:lineRule="auto"/>
        <w:ind w:left="444" w:right="6309"/>
        <w:rPr>
          <w:rFonts w:ascii="Arial"/>
          <w:sz w:val="46"/>
        </w:rPr>
      </w:pPr>
      <w:r>
        <w:rPr>
          <w:rFonts w:ascii="Arial"/>
          <w:color w:val="231F20"/>
          <w:w w:val="85"/>
          <w:sz w:val="46"/>
        </w:rPr>
        <w:t>The</w:t>
      </w:r>
      <w:r>
        <w:rPr>
          <w:rFonts w:ascii="Arial"/>
          <w:color w:val="231F20"/>
          <w:spacing w:val="-67"/>
          <w:w w:val="85"/>
          <w:sz w:val="46"/>
        </w:rPr>
        <w:t xml:space="preserve"> </w:t>
      </w:r>
      <w:r>
        <w:rPr>
          <w:rFonts w:ascii="Arial"/>
          <w:color w:val="231F20"/>
          <w:w w:val="85"/>
          <w:sz w:val="46"/>
        </w:rPr>
        <w:t>economic</w:t>
      </w:r>
      <w:r>
        <w:rPr>
          <w:rFonts w:ascii="Arial"/>
          <w:color w:val="231F20"/>
          <w:spacing w:val="-67"/>
          <w:w w:val="85"/>
          <w:sz w:val="46"/>
        </w:rPr>
        <w:t xml:space="preserve"> </w:t>
      </w:r>
      <w:r>
        <w:rPr>
          <w:rFonts w:ascii="Arial"/>
          <w:color w:val="231F20"/>
          <w:w w:val="85"/>
          <w:sz w:val="46"/>
        </w:rPr>
        <w:t>burden</w:t>
      </w:r>
      <w:r>
        <w:rPr>
          <w:rFonts w:ascii="Arial"/>
          <w:color w:val="231F20"/>
          <w:spacing w:val="-67"/>
          <w:w w:val="85"/>
          <w:sz w:val="46"/>
        </w:rPr>
        <w:t xml:space="preserve"> </w:t>
      </w:r>
      <w:r>
        <w:rPr>
          <w:rFonts w:ascii="Arial"/>
          <w:color w:val="231F20"/>
          <w:w w:val="85"/>
          <w:sz w:val="46"/>
        </w:rPr>
        <w:t xml:space="preserve">of </w:t>
      </w:r>
      <w:r>
        <w:rPr>
          <w:rFonts w:ascii="Arial"/>
          <w:color w:val="231F20"/>
          <w:w w:val="80"/>
          <w:sz w:val="46"/>
        </w:rPr>
        <w:t>asbestos-related disease</w:t>
      </w:r>
    </w:p>
    <w:p w:rsidR="00110C3D" w:rsidRDefault="00FC6933">
      <w:pPr>
        <w:spacing w:before="159"/>
        <w:ind w:left="444"/>
        <w:rPr>
          <w:rFonts w:ascii="Arial"/>
          <w:sz w:val="24"/>
        </w:rPr>
      </w:pPr>
      <w:r>
        <w:rPr>
          <w:rFonts w:ascii="Arial"/>
          <w:color w:val="6D6E71"/>
          <w:w w:val="85"/>
          <w:sz w:val="24"/>
        </w:rPr>
        <w:t>EXECUTIVE SUMMARY</w:t>
      </w: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spacing w:before="11"/>
        <w:rPr>
          <w:rFonts w:ascii="Arial"/>
          <w:sz w:val="24"/>
        </w:rPr>
      </w:pPr>
    </w:p>
    <w:p w:rsidR="00110C3D" w:rsidRDefault="00FC6933">
      <w:pPr>
        <w:pStyle w:val="BodyText"/>
        <w:spacing w:before="98"/>
        <w:ind w:left="7216"/>
        <w:rPr>
          <w:rFonts w:ascii="Arial"/>
        </w:rPr>
      </w:pPr>
      <w:r>
        <w:rPr>
          <w:rFonts w:ascii="Arial"/>
          <w:color w:val="231F20"/>
          <w:w w:val="85"/>
        </w:rPr>
        <w:t>As</w:t>
      </w:r>
      <w:r>
        <w:rPr>
          <w:rFonts w:ascii="Arial"/>
          <w:color w:val="231F20"/>
          <w:spacing w:val="-30"/>
          <w:w w:val="85"/>
        </w:rPr>
        <w:t xml:space="preserve"> </w:t>
      </w:r>
      <w:r>
        <w:rPr>
          <w:rFonts w:ascii="Arial"/>
          <w:color w:val="231F20"/>
          <w:w w:val="85"/>
        </w:rPr>
        <w:t>prepared</w:t>
      </w:r>
      <w:r>
        <w:rPr>
          <w:rFonts w:ascii="Arial"/>
          <w:color w:val="231F20"/>
          <w:spacing w:val="-30"/>
          <w:w w:val="85"/>
        </w:rPr>
        <w:t xml:space="preserve"> </w:t>
      </w:r>
      <w:r>
        <w:rPr>
          <w:rFonts w:ascii="Arial"/>
          <w:color w:val="231F20"/>
          <w:w w:val="85"/>
        </w:rPr>
        <w:t>by</w:t>
      </w:r>
      <w:r>
        <w:rPr>
          <w:rFonts w:ascii="Arial"/>
          <w:color w:val="231F20"/>
          <w:spacing w:val="-30"/>
          <w:w w:val="85"/>
        </w:rPr>
        <w:t xml:space="preserve"> </w:t>
      </w:r>
      <w:r>
        <w:rPr>
          <w:rFonts w:ascii="Arial"/>
          <w:color w:val="231F20"/>
          <w:w w:val="85"/>
        </w:rPr>
        <w:t>The</w:t>
      </w:r>
      <w:r>
        <w:rPr>
          <w:rFonts w:ascii="Arial"/>
          <w:color w:val="231F20"/>
          <w:spacing w:val="-28"/>
          <w:w w:val="85"/>
        </w:rPr>
        <w:t xml:space="preserve"> </w:t>
      </w:r>
      <w:r>
        <w:rPr>
          <w:rFonts w:ascii="Arial"/>
          <w:color w:val="231F20"/>
          <w:w w:val="85"/>
        </w:rPr>
        <w:t>Centre</w:t>
      </w:r>
      <w:r>
        <w:rPr>
          <w:rFonts w:ascii="Arial"/>
          <w:color w:val="231F20"/>
          <w:spacing w:val="-28"/>
          <w:w w:val="85"/>
        </w:rPr>
        <w:t xml:space="preserve"> </w:t>
      </w:r>
      <w:proofErr w:type="gramStart"/>
      <w:r>
        <w:rPr>
          <w:rFonts w:ascii="Arial"/>
          <w:color w:val="231F20"/>
          <w:w w:val="85"/>
        </w:rPr>
        <w:t>For</w:t>
      </w:r>
      <w:proofErr w:type="gramEnd"/>
      <w:r>
        <w:rPr>
          <w:rFonts w:ascii="Arial"/>
          <w:color w:val="231F20"/>
          <w:spacing w:val="-28"/>
          <w:w w:val="85"/>
        </w:rPr>
        <w:t xml:space="preserve"> </w:t>
      </w:r>
      <w:r>
        <w:rPr>
          <w:rFonts w:ascii="Arial"/>
          <w:color w:val="231F20"/>
          <w:w w:val="85"/>
        </w:rPr>
        <w:t>International</w:t>
      </w:r>
      <w:r>
        <w:rPr>
          <w:rFonts w:ascii="Arial"/>
          <w:color w:val="231F20"/>
          <w:spacing w:val="-28"/>
          <w:w w:val="85"/>
        </w:rPr>
        <w:t xml:space="preserve"> </w:t>
      </w:r>
      <w:r>
        <w:rPr>
          <w:rFonts w:ascii="Arial"/>
          <w:color w:val="231F20"/>
          <w:w w:val="85"/>
        </w:rPr>
        <w:t>Economics</w:t>
      </w:r>
    </w:p>
    <w:p w:rsidR="00110C3D" w:rsidRDefault="00110C3D">
      <w:pPr>
        <w:pStyle w:val="BodyText"/>
        <w:rPr>
          <w:rFonts w:ascii="Arial"/>
          <w:sz w:val="20"/>
        </w:rPr>
      </w:pPr>
    </w:p>
    <w:p w:rsidR="00110C3D" w:rsidRDefault="00110C3D">
      <w:pPr>
        <w:pStyle w:val="BodyText"/>
        <w:spacing w:before="10"/>
        <w:rPr>
          <w:rFonts w:ascii="Arial"/>
          <w:sz w:val="15"/>
        </w:rPr>
      </w:pPr>
    </w:p>
    <w:p w:rsidR="00110C3D" w:rsidRDefault="00110C3D">
      <w:pPr>
        <w:rPr>
          <w:rFonts w:ascii="Arial"/>
          <w:sz w:val="26"/>
        </w:rPr>
        <w:sectPr w:rsidR="00110C3D">
          <w:type w:val="continuous"/>
          <w:pgSz w:w="11910" w:h="16840"/>
          <w:pgMar w:top="1580" w:right="520" w:bottom="280" w:left="520" w:header="720" w:footer="720" w:gutter="0"/>
          <w:cols w:space="720"/>
        </w:sectPr>
      </w:pPr>
      <w:bookmarkStart w:id="0" w:name="_GoBack"/>
      <w:bookmarkEnd w:id="0"/>
    </w:p>
    <w:p w:rsidR="00110C3D" w:rsidRDefault="00FC6933">
      <w:pPr>
        <w:spacing w:before="97"/>
        <w:ind w:left="1191"/>
        <w:rPr>
          <w:rFonts w:ascii="Arial"/>
          <w:sz w:val="48"/>
        </w:rPr>
      </w:pPr>
      <w:r>
        <w:lastRenderedPageBreak/>
        <w:pict>
          <v:shape id="_x0000_s1036" style="position:absolute;left:0;text-align:left;margin-left:56.7pt;margin-top:.05pt;width:21.95pt;height:38.35pt;z-index:1144;mso-position-horizontal-relative:page" coordorigin="1134,1" coordsize="439,767" path="m1189,1r-54,55l1463,384,1134,713r55,55l1572,384,1189,1xe" fillcolor="#d71920" stroked="f">
            <v:path arrowok="t"/>
            <w10:wrap anchorx="page"/>
          </v:shape>
        </w:pict>
      </w:r>
      <w:r>
        <w:rPr>
          <w:rFonts w:ascii="Arial"/>
          <w:color w:val="1C75BC"/>
          <w:w w:val="80"/>
          <w:sz w:val="48"/>
        </w:rPr>
        <w:t>EXECUTIVE SUMMARY</w:t>
      </w: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rPr>
          <w:rFonts w:ascii="Arial"/>
          <w:sz w:val="20"/>
        </w:rPr>
      </w:pPr>
    </w:p>
    <w:p w:rsidR="00110C3D" w:rsidRDefault="00110C3D">
      <w:pPr>
        <w:pStyle w:val="BodyText"/>
        <w:spacing w:before="9"/>
        <w:rPr>
          <w:rFonts w:ascii="Arial"/>
          <w:sz w:val="26"/>
        </w:rPr>
      </w:pPr>
    </w:p>
    <w:p w:rsidR="00110C3D" w:rsidRDefault="00110C3D">
      <w:pPr>
        <w:rPr>
          <w:rFonts w:ascii="Arial"/>
          <w:sz w:val="26"/>
        </w:rPr>
        <w:sectPr w:rsidR="00110C3D">
          <w:pgSz w:w="11910" w:h="16840"/>
          <w:pgMar w:top="1540" w:right="520" w:bottom="280" w:left="520" w:header="720" w:footer="720" w:gutter="0"/>
          <w:cols w:space="720"/>
        </w:sectPr>
      </w:pPr>
    </w:p>
    <w:p w:rsidR="00110C3D" w:rsidRDefault="00FC6933">
      <w:pPr>
        <w:pStyle w:val="BodyText"/>
        <w:spacing w:before="100" w:line="283" w:lineRule="auto"/>
        <w:ind w:left="1180" w:right="462"/>
      </w:pPr>
      <w:r>
        <w:t>Asbestos</w:t>
      </w:r>
      <w:r>
        <w:rPr>
          <w:spacing w:val="-18"/>
        </w:rPr>
        <w:t xml:space="preserve"> </w:t>
      </w:r>
      <w:r>
        <w:t>is</w:t>
      </w:r>
      <w:r>
        <w:rPr>
          <w:spacing w:val="-18"/>
        </w:rPr>
        <w:t xml:space="preserve"> </w:t>
      </w:r>
      <w:r>
        <w:t>part</w:t>
      </w:r>
      <w:r>
        <w:rPr>
          <w:spacing w:val="-18"/>
        </w:rPr>
        <w:t xml:space="preserve"> </w:t>
      </w:r>
      <w:r>
        <w:t>of</w:t>
      </w:r>
      <w:r>
        <w:rPr>
          <w:spacing w:val="-18"/>
        </w:rPr>
        <w:t xml:space="preserve"> </w:t>
      </w:r>
      <w:r>
        <w:t>Australia’s</w:t>
      </w:r>
      <w:r>
        <w:rPr>
          <w:spacing w:val="-18"/>
        </w:rPr>
        <w:t xml:space="preserve"> </w:t>
      </w:r>
      <w:r>
        <w:t>built</w:t>
      </w:r>
      <w:r>
        <w:rPr>
          <w:spacing w:val="-18"/>
        </w:rPr>
        <w:t xml:space="preserve"> </w:t>
      </w:r>
      <w:r>
        <w:t>environment, reflecting</w:t>
      </w:r>
      <w:r>
        <w:rPr>
          <w:spacing w:val="-9"/>
        </w:rPr>
        <w:t xml:space="preserve"> </w:t>
      </w:r>
      <w:r>
        <w:t>a</w:t>
      </w:r>
      <w:r>
        <w:rPr>
          <w:spacing w:val="-9"/>
        </w:rPr>
        <w:t xml:space="preserve"> </w:t>
      </w:r>
      <w:r>
        <w:t>long</w:t>
      </w:r>
      <w:r>
        <w:rPr>
          <w:spacing w:val="-9"/>
        </w:rPr>
        <w:t xml:space="preserve"> </w:t>
      </w:r>
      <w:r>
        <w:t>history</w:t>
      </w:r>
      <w:r>
        <w:rPr>
          <w:spacing w:val="-9"/>
        </w:rPr>
        <w:t xml:space="preserve"> </w:t>
      </w:r>
      <w:r>
        <w:t>of</w:t>
      </w:r>
      <w:r>
        <w:rPr>
          <w:spacing w:val="-9"/>
        </w:rPr>
        <w:t xml:space="preserve"> </w:t>
      </w:r>
      <w:r>
        <w:t>the</w:t>
      </w:r>
      <w:r>
        <w:rPr>
          <w:spacing w:val="-9"/>
        </w:rPr>
        <w:t xml:space="preserve"> </w:t>
      </w:r>
      <w:r>
        <w:t>use</w:t>
      </w:r>
      <w:r>
        <w:rPr>
          <w:spacing w:val="-9"/>
        </w:rPr>
        <w:t xml:space="preserve"> </w:t>
      </w:r>
      <w:r>
        <w:t>of</w:t>
      </w:r>
      <w:r>
        <w:rPr>
          <w:spacing w:val="-9"/>
        </w:rPr>
        <w:t xml:space="preserve"> </w:t>
      </w:r>
      <w:r>
        <w:t>asbestos</w:t>
      </w:r>
      <w:r>
        <w:rPr>
          <w:spacing w:val="-9"/>
        </w:rPr>
        <w:t xml:space="preserve"> </w:t>
      </w:r>
      <w:r>
        <w:t>as a</w:t>
      </w:r>
      <w:r>
        <w:rPr>
          <w:spacing w:val="-11"/>
        </w:rPr>
        <w:t xml:space="preserve"> </w:t>
      </w:r>
      <w:r>
        <w:t>building</w:t>
      </w:r>
      <w:r>
        <w:rPr>
          <w:spacing w:val="-11"/>
        </w:rPr>
        <w:t xml:space="preserve"> </w:t>
      </w:r>
      <w:r>
        <w:t>material.</w:t>
      </w:r>
      <w:r>
        <w:rPr>
          <w:spacing w:val="-11"/>
        </w:rPr>
        <w:t xml:space="preserve"> </w:t>
      </w:r>
      <w:r>
        <w:t>Due</w:t>
      </w:r>
      <w:r>
        <w:rPr>
          <w:spacing w:val="-11"/>
        </w:rPr>
        <w:t xml:space="preserve"> </w:t>
      </w:r>
      <w:r>
        <w:t>to</w:t>
      </w:r>
      <w:r>
        <w:rPr>
          <w:spacing w:val="-11"/>
        </w:rPr>
        <w:t xml:space="preserve"> </w:t>
      </w:r>
      <w:r>
        <w:t>this</w:t>
      </w:r>
      <w:r>
        <w:rPr>
          <w:spacing w:val="-11"/>
        </w:rPr>
        <w:t xml:space="preserve"> </w:t>
      </w:r>
      <w:r>
        <w:t>legacy,</w:t>
      </w:r>
      <w:r>
        <w:rPr>
          <w:spacing w:val="-11"/>
        </w:rPr>
        <w:t xml:space="preserve"> </w:t>
      </w:r>
      <w:r>
        <w:t>it</w:t>
      </w:r>
      <w:r>
        <w:rPr>
          <w:spacing w:val="-11"/>
        </w:rPr>
        <w:t xml:space="preserve"> </w:t>
      </w:r>
      <w:r>
        <w:t>is</w:t>
      </w:r>
      <w:r>
        <w:rPr>
          <w:spacing w:val="-11"/>
        </w:rPr>
        <w:t xml:space="preserve"> </w:t>
      </w:r>
      <w:r>
        <w:t>now</w:t>
      </w:r>
      <w:r>
        <w:rPr>
          <w:spacing w:val="-11"/>
        </w:rPr>
        <w:t xml:space="preserve"> </w:t>
      </w:r>
      <w:r>
        <w:t>a</w:t>
      </w:r>
    </w:p>
    <w:p w:rsidR="00110C3D" w:rsidRDefault="00FC6933">
      <w:pPr>
        <w:pStyle w:val="BodyText"/>
        <w:spacing w:before="2" w:line="283" w:lineRule="auto"/>
        <w:ind w:left="1180" w:right="136"/>
      </w:pPr>
      <w:proofErr w:type="gramStart"/>
      <w:r>
        <w:t>confirmed</w:t>
      </w:r>
      <w:proofErr w:type="gramEnd"/>
      <w:r>
        <w:rPr>
          <w:spacing w:val="-21"/>
        </w:rPr>
        <w:t xml:space="preserve"> </w:t>
      </w:r>
      <w:r>
        <w:t>cause</w:t>
      </w:r>
      <w:r>
        <w:rPr>
          <w:spacing w:val="-21"/>
        </w:rPr>
        <w:t xml:space="preserve"> </w:t>
      </w:r>
      <w:r>
        <w:t>of</w:t>
      </w:r>
      <w:r>
        <w:rPr>
          <w:spacing w:val="-21"/>
        </w:rPr>
        <w:t xml:space="preserve"> </w:t>
      </w:r>
      <w:r>
        <w:t>multiple</w:t>
      </w:r>
      <w:r>
        <w:rPr>
          <w:spacing w:val="-21"/>
        </w:rPr>
        <w:t xml:space="preserve"> </w:t>
      </w:r>
      <w:r>
        <w:t>asbestos-related</w:t>
      </w:r>
      <w:r>
        <w:rPr>
          <w:spacing w:val="-21"/>
        </w:rPr>
        <w:t xml:space="preserve"> </w:t>
      </w:r>
      <w:r>
        <w:t>diseases (ARDs),</w:t>
      </w:r>
      <w:r>
        <w:rPr>
          <w:spacing w:val="-18"/>
        </w:rPr>
        <w:t xml:space="preserve"> </w:t>
      </w:r>
      <w:r>
        <w:t>making</w:t>
      </w:r>
      <w:r>
        <w:rPr>
          <w:spacing w:val="-18"/>
        </w:rPr>
        <w:t xml:space="preserve"> </w:t>
      </w:r>
      <w:r>
        <w:t>it</w:t>
      </w:r>
      <w:r>
        <w:rPr>
          <w:spacing w:val="-18"/>
        </w:rPr>
        <w:t xml:space="preserve"> </w:t>
      </w:r>
      <w:r>
        <w:t>an</w:t>
      </w:r>
      <w:r>
        <w:rPr>
          <w:spacing w:val="-18"/>
        </w:rPr>
        <w:t xml:space="preserve"> </w:t>
      </w:r>
      <w:r>
        <w:t>important,</w:t>
      </w:r>
      <w:r>
        <w:rPr>
          <w:spacing w:val="-18"/>
        </w:rPr>
        <w:t xml:space="preserve"> </w:t>
      </w:r>
      <w:r>
        <w:t>potentially</w:t>
      </w:r>
      <w:r>
        <w:rPr>
          <w:spacing w:val="-18"/>
        </w:rPr>
        <w:t xml:space="preserve"> </w:t>
      </w:r>
      <w:r>
        <w:t>avoidable, public health issue in</w:t>
      </w:r>
      <w:r>
        <w:rPr>
          <w:spacing w:val="-15"/>
        </w:rPr>
        <w:t xml:space="preserve"> </w:t>
      </w:r>
      <w:r>
        <w:t>Australia.</w:t>
      </w:r>
    </w:p>
    <w:p w:rsidR="00110C3D" w:rsidRDefault="00FC6933">
      <w:pPr>
        <w:pStyle w:val="BodyText"/>
        <w:spacing w:before="132" w:line="283" w:lineRule="auto"/>
        <w:ind w:left="1180" w:right="136"/>
      </w:pPr>
      <w:r>
        <w:t>This study quantifies some of the economic and social</w:t>
      </w:r>
      <w:r>
        <w:rPr>
          <w:spacing w:val="-15"/>
        </w:rPr>
        <w:t xml:space="preserve"> </w:t>
      </w:r>
      <w:r>
        <w:t>costs</w:t>
      </w:r>
      <w:r>
        <w:rPr>
          <w:spacing w:val="-15"/>
        </w:rPr>
        <w:t xml:space="preserve"> </w:t>
      </w:r>
      <w:r>
        <w:t>of</w:t>
      </w:r>
      <w:r>
        <w:rPr>
          <w:spacing w:val="-15"/>
        </w:rPr>
        <w:t xml:space="preserve"> </w:t>
      </w:r>
      <w:r>
        <w:t>ARD</w:t>
      </w:r>
      <w:r>
        <w:rPr>
          <w:spacing w:val="-15"/>
        </w:rPr>
        <w:t xml:space="preserve"> </w:t>
      </w:r>
      <w:r>
        <w:t>in</w:t>
      </w:r>
      <w:r>
        <w:rPr>
          <w:spacing w:val="-15"/>
        </w:rPr>
        <w:t xml:space="preserve"> </w:t>
      </w:r>
      <w:r>
        <w:t>Australia</w:t>
      </w:r>
      <w:r>
        <w:rPr>
          <w:spacing w:val="-15"/>
        </w:rPr>
        <w:t xml:space="preserve"> </w:t>
      </w:r>
      <w:r>
        <w:t>for</w:t>
      </w:r>
      <w:r>
        <w:rPr>
          <w:spacing w:val="-15"/>
        </w:rPr>
        <w:t xml:space="preserve"> </w:t>
      </w:r>
      <w:r>
        <w:rPr>
          <w:spacing w:val="-6"/>
        </w:rPr>
        <w:t>2015,</w:t>
      </w:r>
      <w:r>
        <w:rPr>
          <w:spacing w:val="-15"/>
        </w:rPr>
        <w:t xml:space="preserve"> </w:t>
      </w:r>
      <w:r>
        <w:t>and</w:t>
      </w:r>
      <w:r>
        <w:rPr>
          <w:spacing w:val="-15"/>
        </w:rPr>
        <w:t xml:space="preserve"> </w:t>
      </w:r>
      <w:r>
        <w:t>finds</w:t>
      </w:r>
      <w:r>
        <w:rPr>
          <w:spacing w:val="-15"/>
        </w:rPr>
        <w:t xml:space="preserve"> </w:t>
      </w:r>
      <w:r>
        <w:t>that there are large health system and productivity costs associated with the</w:t>
      </w:r>
      <w:r>
        <w:rPr>
          <w:spacing w:val="-10"/>
        </w:rPr>
        <w:t xml:space="preserve"> </w:t>
      </w:r>
      <w:r>
        <w:t>disease.</w:t>
      </w:r>
    </w:p>
    <w:p w:rsidR="00110C3D" w:rsidRDefault="00FC6933">
      <w:pPr>
        <w:pStyle w:val="BodyText"/>
        <w:spacing w:before="133" w:line="283" w:lineRule="auto"/>
        <w:ind w:left="1180"/>
      </w:pPr>
      <w:r>
        <w:t>T</w:t>
      </w:r>
      <w:r>
        <w:t>he population of ARD sufferers is not limited to current</w:t>
      </w:r>
      <w:r>
        <w:rPr>
          <w:spacing w:val="-12"/>
        </w:rPr>
        <w:t xml:space="preserve"> </w:t>
      </w:r>
      <w:r>
        <w:t>patients,</w:t>
      </w:r>
      <w:r>
        <w:rPr>
          <w:spacing w:val="-12"/>
        </w:rPr>
        <w:t xml:space="preserve"> </w:t>
      </w:r>
      <w:r>
        <w:t>due</w:t>
      </w:r>
      <w:r>
        <w:rPr>
          <w:spacing w:val="-12"/>
        </w:rPr>
        <w:t xml:space="preserve"> </w:t>
      </w:r>
      <w:r>
        <w:t>to</w:t>
      </w:r>
      <w:r>
        <w:rPr>
          <w:spacing w:val="-12"/>
        </w:rPr>
        <w:t xml:space="preserve"> </w:t>
      </w:r>
      <w:r>
        <w:t>long</w:t>
      </w:r>
      <w:r>
        <w:rPr>
          <w:spacing w:val="-12"/>
        </w:rPr>
        <w:t xml:space="preserve"> </w:t>
      </w:r>
      <w:r>
        <w:t>latency</w:t>
      </w:r>
      <w:r>
        <w:rPr>
          <w:spacing w:val="-12"/>
        </w:rPr>
        <w:t xml:space="preserve"> </w:t>
      </w:r>
      <w:r>
        <w:t>periods</w:t>
      </w:r>
      <w:r>
        <w:rPr>
          <w:spacing w:val="-12"/>
        </w:rPr>
        <w:t xml:space="preserve"> </w:t>
      </w:r>
      <w:r>
        <w:t>and</w:t>
      </w:r>
      <w:r>
        <w:rPr>
          <w:spacing w:val="-12"/>
        </w:rPr>
        <w:t xml:space="preserve"> </w:t>
      </w:r>
      <w:r>
        <w:t>a</w:t>
      </w:r>
      <w:r>
        <w:rPr>
          <w:spacing w:val="-12"/>
        </w:rPr>
        <w:t xml:space="preserve"> </w:t>
      </w:r>
      <w:r>
        <w:t>third wave of people contracting the disease from non- occupational</w:t>
      </w:r>
      <w:r>
        <w:rPr>
          <w:spacing w:val="-3"/>
        </w:rPr>
        <w:t xml:space="preserve"> </w:t>
      </w:r>
      <w:r>
        <w:t>exposure.</w:t>
      </w:r>
    </w:p>
    <w:p w:rsidR="00110C3D" w:rsidRDefault="00FC6933">
      <w:pPr>
        <w:pStyle w:val="BodyText"/>
        <w:spacing w:before="133" w:line="283" w:lineRule="auto"/>
        <w:ind w:left="1180" w:right="56"/>
      </w:pPr>
      <w:r>
        <w:t>This report contributes to the evidence base for asbestos policy development,</w:t>
      </w:r>
      <w:r>
        <w:t xml:space="preserve"> and by drawing on all relevant</w:t>
      </w:r>
      <w:r>
        <w:rPr>
          <w:spacing w:val="-15"/>
        </w:rPr>
        <w:t xml:space="preserve"> </w:t>
      </w:r>
      <w:r>
        <w:t>data</w:t>
      </w:r>
      <w:r>
        <w:rPr>
          <w:spacing w:val="-15"/>
        </w:rPr>
        <w:t xml:space="preserve"> </w:t>
      </w:r>
      <w:r>
        <w:t>available</w:t>
      </w:r>
      <w:r>
        <w:rPr>
          <w:spacing w:val="-15"/>
        </w:rPr>
        <w:t xml:space="preserve"> </w:t>
      </w:r>
      <w:r>
        <w:t>at</w:t>
      </w:r>
      <w:r>
        <w:rPr>
          <w:spacing w:val="-15"/>
        </w:rPr>
        <w:t xml:space="preserve"> </w:t>
      </w:r>
      <w:r>
        <w:t>the</w:t>
      </w:r>
      <w:r>
        <w:rPr>
          <w:spacing w:val="-15"/>
        </w:rPr>
        <w:t xml:space="preserve"> </w:t>
      </w:r>
      <w:r>
        <w:t>time</w:t>
      </w:r>
      <w:r>
        <w:rPr>
          <w:spacing w:val="-15"/>
        </w:rPr>
        <w:t xml:space="preserve"> </w:t>
      </w:r>
      <w:r>
        <w:t>of</w:t>
      </w:r>
      <w:r>
        <w:rPr>
          <w:spacing w:val="-15"/>
        </w:rPr>
        <w:t xml:space="preserve"> </w:t>
      </w:r>
      <w:r>
        <w:t>drafting,</w:t>
      </w:r>
      <w:r>
        <w:rPr>
          <w:spacing w:val="-15"/>
        </w:rPr>
        <w:t xml:space="preserve"> </w:t>
      </w:r>
      <w:r>
        <w:t>points</w:t>
      </w:r>
      <w:r>
        <w:rPr>
          <w:spacing w:val="-15"/>
        </w:rPr>
        <w:t xml:space="preserve"> </w:t>
      </w:r>
      <w:r>
        <w:t>to future research that would expand the understanding of</w:t>
      </w:r>
      <w:r>
        <w:rPr>
          <w:spacing w:val="-5"/>
        </w:rPr>
        <w:t xml:space="preserve"> </w:t>
      </w:r>
      <w:r>
        <w:t>the</w:t>
      </w:r>
      <w:r>
        <w:rPr>
          <w:spacing w:val="-5"/>
        </w:rPr>
        <w:t xml:space="preserve"> </w:t>
      </w:r>
      <w:r>
        <w:t>economic</w:t>
      </w:r>
      <w:r>
        <w:rPr>
          <w:spacing w:val="-5"/>
        </w:rPr>
        <w:t xml:space="preserve"> </w:t>
      </w:r>
      <w:r>
        <w:t>and</w:t>
      </w:r>
      <w:r>
        <w:rPr>
          <w:spacing w:val="-5"/>
        </w:rPr>
        <w:t xml:space="preserve"> </w:t>
      </w:r>
      <w:r>
        <w:t>social</w:t>
      </w:r>
      <w:r>
        <w:rPr>
          <w:spacing w:val="-5"/>
        </w:rPr>
        <w:t xml:space="preserve"> </w:t>
      </w:r>
      <w:r>
        <w:t>costs</w:t>
      </w:r>
      <w:r>
        <w:rPr>
          <w:spacing w:val="-5"/>
        </w:rPr>
        <w:t xml:space="preserve"> </w:t>
      </w:r>
      <w:r>
        <w:t>that</w:t>
      </w:r>
      <w:r>
        <w:rPr>
          <w:spacing w:val="-5"/>
        </w:rPr>
        <w:t xml:space="preserve"> </w:t>
      </w:r>
      <w:r>
        <w:t>ARDs</w:t>
      </w:r>
      <w:r>
        <w:rPr>
          <w:spacing w:val="-5"/>
        </w:rPr>
        <w:t xml:space="preserve"> </w:t>
      </w:r>
      <w:r>
        <w:t>leave</w:t>
      </w:r>
    </w:p>
    <w:p w:rsidR="00110C3D" w:rsidRDefault="00FC6933">
      <w:pPr>
        <w:pStyle w:val="BodyText"/>
        <w:spacing w:before="3" w:line="283" w:lineRule="auto"/>
        <w:ind w:left="1180" w:right="136"/>
      </w:pPr>
      <w:proofErr w:type="gramStart"/>
      <w:r>
        <w:t>on</w:t>
      </w:r>
      <w:proofErr w:type="gramEnd"/>
      <w:r>
        <w:rPr>
          <w:spacing w:val="-18"/>
        </w:rPr>
        <w:t xml:space="preserve"> </w:t>
      </w:r>
      <w:r>
        <w:t>patients,</w:t>
      </w:r>
      <w:r>
        <w:rPr>
          <w:spacing w:val="-18"/>
        </w:rPr>
        <w:t xml:space="preserve"> </w:t>
      </w:r>
      <w:r>
        <w:t>their</w:t>
      </w:r>
      <w:r>
        <w:rPr>
          <w:spacing w:val="-18"/>
        </w:rPr>
        <w:t xml:space="preserve"> </w:t>
      </w:r>
      <w:r>
        <w:t>families</w:t>
      </w:r>
      <w:r>
        <w:rPr>
          <w:spacing w:val="-18"/>
        </w:rPr>
        <w:t xml:space="preserve"> </w:t>
      </w:r>
      <w:r>
        <w:t>and</w:t>
      </w:r>
      <w:r>
        <w:rPr>
          <w:spacing w:val="-18"/>
        </w:rPr>
        <w:t xml:space="preserve"> </w:t>
      </w:r>
      <w:proofErr w:type="spellStart"/>
      <w:r>
        <w:t>carers</w:t>
      </w:r>
      <w:proofErr w:type="spellEnd"/>
      <w:r>
        <w:t>,</w:t>
      </w:r>
      <w:r>
        <w:rPr>
          <w:spacing w:val="-18"/>
        </w:rPr>
        <w:t xml:space="preserve"> </w:t>
      </w:r>
      <w:r>
        <w:t>and</w:t>
      </w:r>
      <w:r>
        <w:rPr>
          <w:spacing w:val="-18"/>
        </w:rPr>
        <w:t xml:space="preserve"> </w:t>
      </w:r>
      <w:r>
        <w:t>the</w:t>
      </w:r>
      <w:r>
        <w:rPr>
          <w:spacing w:val="-18"/>
        </w:rPr>
        <w:t xml:space="preserve"> </w:t>
      </w:r>
      <w:r>
        <w:t>wider community and</w:t>
      </w:r>
      <w:r>
        <w:rPr>
          <w:spacing w:val="-5"/>
        </w:rPr>
        <w:t xml:space="preserve"> </w:t>
      </w:r>
      <w:r>
        <w:t>economy.</w:t>
      </w:r>
    </w:p>
    <w:p w:rsidR="00110C3D" w:rsidRDefault="00FC6933">
      <w:pPr>
        <w:pStyle w:val="Heading1"/>
        <w:spacing w:before="97"/>
        <w:ind w:left="431" w:right="1246"/>
      </w:pPr>
      <w:r>
        <w:br w:type="column"/>
      </w:r>
      <w:r>
        <w:rPr>
          <w:w w:val="85"/>
        </w:rPr>
        <w:t>Deaths</w:t>
      </w:r>
      <w:r>
        <w:rPr>
          <w:spacing w:val="-36"/>
          <w:w w:val="85"/>
        </w:rPr>
        <w:t xml:space="preserve"> </w:t>
      </w:r>
      <w:r>
        <w:rPr>
          <w:w w:val="85"/>
        </w:rPr>
        <w:t>and</w:t>
      </w:r>
      <w:r>
        <w:rPr>
          <w:spacing w:val="-36"/>
          <w:w w:val="85"/>
        </w:rPr>
        <w:t xml:space="preserve"> </w:t>
      </w:r>
      <w:r>
        <w:rPr>
          <w:w w:val="85"/>
        </w:rPr>
        <w:t>disability</w:t>
      </w:r>
      <w:r>
        <w:rPr>
          <w:spacing w:val="-36"/>
          <w:w w:val="85"/>
        </w:rPr>
        <w:t xml:space="preserve"> </w:t>
      </w:r>
      <w:r>
        <w:rPr>
          <w:w w:val="85"/>
        </w:rPr>
        <w:t>in</w:t>
      </w:r>
      <w:r>
        <w:rPr>
          <w:spacing w:val="-36"/>
          <w:w w:val="85"/>
        </w:rPr>
        <w:t xml:space="preserve"> </w:t>
      </w:r>
      <w:r>
        <w:rPr>
          <w:w w:val="85"/>
        </w:rPr>
        <w:t>Australia</w:t>
      </w:r>
      <w:r>
        <w:rPr>
          <w:spacing w:val="-36"/>
          <w:w w:val="85"/>
        </w:rPr>
        <w:t xml:space="preserve"> </w:t>
      </w:r>
      <w:r>
        <w:rPr>
          <w:w w:val="85"/>
        </w:rPr>
        <w:t>due</w:t>
      </w:r>
      <w:r>
        <w:rPr>
          <w:spacing w:val="-36"/>
          <w:w w:val="85"/>
        </w:rPr>
        <w:t xml:space="preserve"> </w:t>
      </w:r>
      <w:r>
        <w:rPr>
          <w:w w:val="85"/>
        </w:rPr>
        <w:t xml:space="preserve">to </w:t>
      </w:r>
      <w:r>
        <w:rPr>
          <w:w w:val="90"/>
        </w:rPr>
        <w:t>asbestos-related</w:t>
      </w:r>
      <w:r>
        <w:rPr>
          <w:spacing w:val="-13"/>
          <w:w w:val="90"/>
        </w:rPr>
        <w:t xml:space="preserve"> </w:t>
      </w:r>
      <w:r>
        <w:rPr>
          <w:w w:val="90"/>
        </w:rPr>
        <w:t>disease</w:t>
      </w:r>
    </w:p>
    <w:p w:rsidR="00110C3D" w:rsidRDefault="00FC6933">
      <w:pPr>
        <w:pStyle w:val="BodyText"/>
        <w:spacing w:before="157" w:line="283" w:lineRule="auto"/>
        <w:ind w:left="431" w:right="1179"/>
      </w:pPr>
      <w:r>
        <w:t>In</w:t>
      </w:r>
      <w:r>
        <w:rPr>
          <w:spacing w:val="-26"/>
        </w:rPr>
        <w:t xml:space="preserve"> </w:t>
      </w:r>
      <w:r>
        <w:rPr>
          <w:spacing w:val="-7"/>
        </w:rPr>
        <w:t>2015,</w:t>
      </w:r>
      <w:r>
        <w:rPr>
          <w:spacing w:val="-26"/>
        </w:rPr>
        <w:t xml:space="preserve"> </w:t>
      </w:r>
      <w:r>
        <w:t>there</w:t>
      </w:r>
      <w:r>
        <w:rPr>
          <w:spacing w:val="-26"/>
        </w:rPr>
        <w:t xml:space="preserve"> </w:t>
      </w:r>
      <w:r>
        <w:t>were</w:t>
      </w:r>
      <w:r>
        <w:rPr>
          <w:spacing w:val="-26"/>
        </w:rPr>
        <w:t xml:space="preserve"> </w:t>
      </w:r>
      <w:r>
        <w:t>an</w:t>
      </w:r>
      <w:r>
        <w:rPr>
          <w:spacing w:val="-26"/>
        </w:rPr>
        <w:t xml:space="preserve"> </w:t>
      </w:r>
      <w:r>
        <w:t>estimated</w:t>
      </w:r>
      <w:r>
        <w:rPr>
          <w:spacing w:val="-26"/>
        </w:rPr>
        <w:t xml:space="preserve"> </w:t>
      </w:r>
      <w:r>
        <w:rPr>
          <w:spacing w:val="-7"/>
        </w:rPr>
        <w:t>4,152</w:t>
      </w:r>
      <w:r>
        <w:rPr>
          <w:spacing w:val="-26"/>
        </w:rPr>
        <w:t xml:space="preserve"> </w:t>
      </w:r>
      <w:r>
        <w:t>deaths</w:t>
      </w:r>
      <w:r>
        <w:rPr>
          <w:spacing w:val="-26"/>
        </w:rPr>
        <w:t xml:space="preserve"> </w:t>
      </w:r>
      <w:r>
        <w:t>in</w:t>
      </w:r>
      <w:r>
        <w:rPr>
          <w:spacing w:val="-26"/>
        </w:rPr>
        <w:t xml:space="preserve"> </w:t>
      </w:r>
      <w:r>
        <w:t>Australia due</w:t>
      </w:r>
      <w:r>
        <w:rPr>
          <w:spacing w:val="-13"/>
        </w:rPr>
        <w:t xml:space="preserve"> </w:t>
      </w:r>
      <w:r>
        <w:t>to</w:t>
      </w:r>
      <w:r>
        <w:rPr>
          <w:spacing w:val="-13"/>
        </w:rPr>
        <w:t xml:space="preserve"> </w:t>
      </w:r>
      <w:r>
        <w:t>ARDs,</w:t>
      </w:r>
      <w:r>
        <w:rPr>
          <w:spacing w:val="-13"/>
        </w:rPr>
        <w:t xml:space="preserve"> </w:t>
      </w:r>
      <w:r>
        <w:t>and</w:t>
      </w:r>
      <w:r>
        <w:rPr>
          <w:spacing w:val="-13"/>
        </w:rPr>
        <w:t xml:space="preserve"> </w:t>
      </w:r>
      <w:r>
        <w:t>10,444</w:t>
      </w:r>
      <w:r>
        <w:rPr>
          <w:spacing w:val="-13"/>
        </w:rPr>
        <w:t xml:space="preserve"> </w:t>
      </w:r>
      <w:r>
        <w:t>prevalent</w:t>
      </w:r>
      <w:r>
        <w:rPr>
          <w:spacing w:val="-13"/>
        </w:rPr>
        <w:t xml:space="preserve"> </w:t>
      </w:r>
      <w:r>
        <w:t>cases</w:t>
      </w:r>
      <w:r>
        <w:rPr>
          <w:spacing w:val="-13"/>
        </w:rPr>
        <w:t xml:space="preserve"> </w:t>
      </w:r>
      <w:r>
        <w:t>of</w:t>
      </w:r>
      <w:r>
        <w:rPr>
          <w:spacing w:val="-13"/>
        </w:rPr>
        <w:t xml:space="preserve"> </w:t>
      </w:r>
      <w:r>
        <w:t>disease.</w:t>
      </w:r>
    </w:p>
    <w:p w:rsidR="00110C3D" w:rsidRDefault="00FC6933">
      <w:pPr>
        <w:pStyle w:val="BodyText"/>
        <w:spacing w:before="2" w:line="283" w:lineRule="auto"/>
        <w:ind w:left="431" w:right="1179"/>
      </w:pPr>
      <w:r>
        <w:t>This</w:t>
      </w:r>
      <w:r>
        <w:rPr>
          <w:spacing w:val="-18"/>
        </w:rPr>
        <w:t xml:space="preserve"> </w:t>
      </w:r>
      <w:r>
        <w:t>accounts</w:t>
      </w:r>
      <w:r>
        <w:rPr>
          <w:spacing w:val="-18"/>
        </w:rPr>
        <w:t xml:space="preserve"> </w:t>
      </w:r>
      <w:r>
        <w:t>for</w:t>
      </w:r>
      <w:r>
        <w:rPr>
          <w:spacing w:val="-18"/>
        </w:rPr>
        <w:t xml:space="preserve"> </w:t>
      </w:r>
      <w:r>
        <w:t>mesothelioma</w:t>
      </w:r>
      <w:r>
        <w:rPr>
          <w:spacing w:val="-18"/>
        </w:rPr>
        <w:t xml:space="preserve"> </w:t>
      </w:r>
      <w:r>
        <w:t>in</w:t>
      </w:r>
      <w:r>
        <w:rPr>
          <w:spacing w:val="-18"/>
        </w:rPr>
        <w:t xml:space="preserve"> </w:t>
      </w:r>
      <w:r>
        <w:t>addition</w:t>
      </w:r>
      <w:r>
        <w:rPr>
          <w:spacing w:val="-18"/>
        </w:rPr>
        <w:t xml:space="preserve"> </w:t>
      </w:r>
      <w:r>
        <w:t>to</w:t>
      </w:r>
      <w:r>
        <w:rPr>
          <w:spacing w:val="-18"/>
        </w:rPr>
        <w:t xml:space="preserve"> </w:t>
      </w:r>
      <w:r>
        <w:t>a</w:t>
      </w:r>
      <w:r>
        <w:rPr>
          <w:spacing w:val="-18"/>
        </w:rPr>
        <w:t xml:space="preserve"> </w:t>
      </w:r>
      <w:r>
        <w:t>broader range</w:t>
      </w:r>
      <w:r>
        <w:rPr>
          <w:spacing w:val="-14"/>
        </w:rPr>
        <w:t xml:space="preserve"> </w:t>
      </w:r>
      <w:r>
        <w:t>of</w:t>
      </w:r>
      <w:r>
        <w:rPr>
          <w:spacing w:val="-14"/>
        </w:rPr>
        <w:t xml:space="preserve"> </w:t>
      </w:r>
      <w:r>
        <w:t>ARDs</w:t>
      </w:r>
      <w:r>
        <w:rPr>
          <w:spacing w:val="-14"/>
        </w:rPr>
        <w:t xml:space="preserve"> </w:t>
      </w:r>
      <w:r>
        <w:t>such</w:t>
      </w:r>
      <w:r>
        <w:rPr>
          <w:spacing w:val="-14"/>
        </w:rPr>
        <w:t xml:space="preserve"> </w:t>
      </w:r>
      <w:r>
        <w:t>as</w:t>
      </w:r>
      <w:r>
        <w:rPr>
          <w:spacing w:val="-14"/>
        </w:rPr>
        <w:t xml:space="preserve"> </w:t>
      </w:r>
      <w:r>
        <w:t>lung</w:t>
      </w:r>
      <w:r>
        <w:rPr>
          <w:spacing w:val="-14"/>
        </w:rPr>
        <w:t xml:space="preserve"> </w:t>
      </w:r>
      <w:r>
        <w:rPr>
          <w:spacing w:val="-3"/>
        </w:rPr>
        <w:t>cancer.</w:t>
      </w:r>
      <w:r>
        <w:rPr>
          <w:spacing w:val="-14"/>
        </w:rPr>
        <w:t xml:space="preserve"> </w:t>
      </w:r>
      <w:proofErr w:type="gramStart"/>
      <w:r>
        <w:t>While</w:t>
      </w:r>
      <w:r>
        <w:rPr>
          <w:spacing w:val="-14"/>
        </w:rPr>
        <w:t xml:space="preserve"> </w:t>
      </w:r>
      <w:r>
        <w:t>the</w:t>
      </w:r>
      <w:r>
        <w:rPr>
          <w:spacing w:val="-14"/>
        </w:rPr>
        <w:t xml:space="preserve"> </w:t>
      </w:r>
      <w:r>
        <w:t>majority</w:t>
      </w:r>
      <w:r>
        <w:rPr>
          <w:spacing w:val="-14"/>
        </w:rPr>
        <w:t xml:space="preserve"> </w:t>
      </w:r>
      <w:r>
        <w:t>of these</w:t>
      </w:r>
      <w:r>
        <w:rPr>
          <w:spacing w:val="-21"/>
        </w:rPr>
        <w:t xml:space="preserve"> </w:t>
      </w:r>
      <w:r>
        <w:t>cases</w:t>
      </w:r>
      <w:r>
        <w:rPr>
          <w:spacing w:val="-21"/>
        </w:rPr>
        <w:t xml:space="preserve"> </w:t>
      </w:r>
      <w:r>
        <w:t>are</w:t>
      </w:r>
      <w:r>
        <w:rPr>
          <w:spacing w:val="-21"/>
        </w:rPr>
        <w:t xml:space="preserve"> </w:t>
      </w:r>
      <w:r>
        <w:t>due</w:t>
      </w:r>
      <w:r>
        <w:rPr>
          <w:spacing w:val="-21"/>
        </w:rPr>
        <w:t xml:space="preserve"> </w:t>
      </w:r>
      <w:r>
        <w:t>to</w:t>
      </w:r>
      <w:r>
        <w:rPr>
          <w:spacing w:val="-21"/>
        </w:rPr>
        <w:t xml:space="preserve"> </w:t>
      </w:r>
      <w:r>
        <w:t>past</w:t>
      </w:r>
      <w:r>
        <w:rPr>
          <w:spacing w:val="-21"/>
        </w:rPr>
        <w:t xml:space="preserve"> </w:t>
      </w:r>
      <w:r>
        <w:t>occupational</w:t>
      </w:r>
      <w:r>
        <w:rPr>
          <w:spacing w:val="-21"/>
        </w:rPr>
        <w:t xml:space="preserve"> </w:t>
      </w:r>
      <w:r>
        <w:t>exposure,</w:t>
      </w:r>
      <w:r>
        <w:rPr>
          <w:spacing w:val="-21"/>
        </w:rPr>
        <w:t xml:space="preserve"> </w:t>
      </w:r>
      <w:r>
        <w:t>there is still a large number of people living with disease that have</w:t>
      </w:r>
      <w:r>
        <w:rPr>
          <w:spacing w:val="-10"/>
        </w:rPr>
        <w:t xml:space="preserve"> </w:t>
      </w:r>
      <w:r>
        <w:t>not</w:t>
      </w:r>
      <w:r>
        <w:rPr>
          <w:spacing w:val="-10"/>
        </w:rPr>
        <w:t xml:space="preserve"> </w:t>
      </w:r>
      <w:r>
        <w:t>had</w:t>
      </w:r>
      <w:r>
        <w:rPr>
          <w:spacing w:val="-10"/>
        </w:rPr>
        <w:t xml:space="preserve"> </w:t>
      </w:r>
      <w:r>
        <w:rPr>
          <w:spacing w:val="-2"/>
        </w:rPr>
        <w:t>any</w:t>
      </w:r>
      <w:r>
        <w:rPr>
          <w:spacing w:val="-10"/>
        </w:rPr>
        <w:t xml:space="preserve"> </w:t>
      </w:r>
      <w:r>
        <w:t>workplace</w:t>
      </w:r>
      <w:r>
        <w:rPr>
          <w:spacing w:val="-10"/>
        </w:rPr>
        <w:t xml:space="preserve"> </w:t>
      </w:r>
      <w:r>
        <w:t>contact</w:t>
      </w:r>
      <w:r>
        <w:rPr>
          <w:spacing w:val="-10"/>
        </w:rPr>
        <w:t xml:space="preserve"> </w:t>
      </w:r>
      <w:r>
        <w:t>with</w:t>
      </w:r>
      <w:r>
        <w:rPr>
          <w:spacing w:val="-10"/>
        </w:rPr>
        <w:t xml:space="preserve"> </w:t>
      </w:r>
      <w:r>
        <w:t>asbestos.</w:t>
      </w:r>
      <w:proofErr w:type="gramEnd"/>
    </w:p>
    <w:p w:rsidR="00110C3D" w:rsidRDefault="00FC6933">
      <w:pPr>
        <w:pStyle w:val="BodyText"/>
        <w:spacing w:before="133" w:line="283" w:lineRule="auto"/>
        <w:ind w:left="431" w:right="1385"/>
      </w:pPr>
      <w:r>
        <w:t>The most common form of ARD is lung cancer</w:t>
      </w:r>
      <w:r>
        <w:t>. This study</w:t>
      </w:r>
      <w:r>
        <w:rPr>
          <w:spacing w:val="-16"/>
        </w:rPr>
        <w:t xml:space="preserve"> </w:t>
      </w:r>
      <w:r>
        <w:t>estimates</w:t>
      </w:r>
      <w:r>
        <w:rPr>
          <w:spacing w:val="-16"/>
        </w:rPr>
        <w:t xml:space="preserve"> </w:t>
      </w:r>
      <w:r>
        <w:t>that</w:t>
      </w:r>
      <w:r>
        <w:rPr>
          <w:spacing w:val="-16"/>
        </w:rPr>
        <w:t xml:space="preserve"> </w:t>
      </w:r>
      <w:r>
        <w:t>there</w:t>
      </w:r>
      <w:r>
        <w:rPr>
          <w:spacing w:val="-16"/>
        </w:rPr>
        <w:t xml:space="preserve"> </w:t>
      </w:r>
      <w:r>
        <w:t>are</w:t>
      </w:r>
      <w:r>
        <w:rPr>
          <w:spacing w:val="-16"/>
        </w:rPr>
        <w:t xml:space="preserve"> </w:t>
      </w:r>
      <w:r>
        <w:t>4.2</w:t>
      </w:r>
      <w:r>
        <w:rPr>
          <w:spacing w:val="-16"/>
        </w:rPr>
        <w:t xml:space="preserve"> </w:t>
      </w:r>
      <w:r>
        <w:t>lung</w:t>
      </w:r>
      <w:r>
        <w:rPr>
          <w:spacing w:val="-16"/>
        </w:rPr>
        <w:t xml:space="preserve"> </w:t>
      </w:r>
      <w:r>
        <w:t>cancer</w:t>
      </w:r>
      <w:r>
        <w:rPr>
          <w:spacing w:val="-16"/>
        </w:rPr>
        <w:t xml:space="preserve"> </w:t>
      </w:r>
      <w:r>
        <w:t>deaths for</w:t>
      </w:r>
      <w:r>
        <w:rPr>
          <w:spacing w:val="-17"/>
        </w:rPr>
        <w:t xml:space="preserve"> </w:t>
      </w:r>
      <w:r>
        <w:t>each</w:t>
      </w:r>
      <w:r>
        <w:rPr>
          <w:spacing w:val="-17"/>
        </w:rPr>
        <w:t xml:space="preserve"> </w:t>
      </w:r>
      <w:r>
        <w:t>mesothelioma</w:t>
      </w:r>
      <w:r>
        <w:rPr>
          <w:spacing w:val="-17"/>
        </w:rPr>
        <w:t xml:space="preserve"> </w:t>
      </w:r>
      <w:r>
        <w:t>death.</w:t>
      </w:r>
      <w:r>
        <w:rPr>
          <w:spacing w:val="-17"/>
        </w:rPr>
        <w:t xml:space="preserve"> </w:t>
      </w:r>
      <w:r>
        <w:t>Data</w:t>
      </w:r>
      <w:r>
        <w:rPr>
          <w:spacing w:val="-17"/>
        </w:rPr>
        <w:t xml:space="preserve"> </w:t>
      </w:r>
      <w:r>
        <w:t>limitations</w:t>
      </w:r>
      <w:r>
        <w:rPr>
          <w:spacing w:val="-17"/>
        </w:rPr>
        <w:t xml:space="preserve"> </w:t>
      </w:r>
      <w:r>
        <w:t>make it</w:t>
      </w:r>
      <w:r>
        <w:rPr>
          <w:spacing w:val="-13"/>
        </w:rPr>
        <w:t xml:space="preserve"> </w:t>
      </w:r>
      <w:r>
        <w:t>more</w:t>
      </w:r>
      <w:r>
        <w:rPr>
          <w:spacing w:val="-13"/>
        </w:rPr>
        <w:t xml:space="preserve"> </w:t>
      </w:r>
      <w:r>
        <w:t>difficult</w:t>
      </w:r>
      <w:r>
        <w:rPr>
          <w:spacing w:val="-13"/>
        </w:rPr>
        <w:t xml:space="preserve"> </w:t>
      </w:r>
      <w:r>
        <w:t>to</w:t>
      </w:r>
      <w:r>
        <w:rPr>
          <w:spacing w:val="-13"/>
        </w:rPr>
        <w:t xml:space="preserve"> </w:t>
      </w:r>
      <w:r>
        <w:t>estimate</w:t>
      </w:r>
      <w:r>
        <w:rPr>
          <w:spacing w:val="-13"/>
        </w:rPr>
        <w:t xml:space="preserve"> </w:t>
      </w:r>
      <w:r>
        <w:t>the</w:t>
      </w:r>
      <w:r>
        <w:rPr>
          <w:spacing w:val="-13"/>
        </w:rPr>
        <w:t xml:space="preserve"> </w:t>
      </w:r>
      <w:r>
        <w:t>number</w:t>
      </w:r>
      <w:r>
        <w:rPr>
          <w:spacing w:val="-13"/>
        </w:rPr>
        <w:t xml:space="preserve"> </w:t>
      </w:r>
      <w:r>
        <w:t>of</w:t>
      </w:r>
      <w:r>
        <w:rPr>
          <w:spacing w:val="-13"/>
        </w:rPr>
        <w:t xml:space="preserve"> </w:t>
      </w:r>
      <w:r>
        <w:t>prevalent cases</w:t>
      </w:r>
      <w:r>
        <w:rPr>
          <w:spacing w:val="-10"/>
        </w:rPr>
        <w:t xml:space="preserve"> </w:t>
      </w:r>
      <w:r>
        <w:t>of</w:t>
      </w:r>
      <w:r>
        <w:rPr>
          <w:spacing w:val="-10"/>
        </w:rPr>
        <w:t xml:space="preserve"> </w:t>
      </w:r>
      <w:r>
        <w:t>lung</w:t>
      </w:r>
      <w:r>
        <w:rPr>
          <w:spacing w:val="-10"/>
        </w:rPr>
        <w:t xml:space="preserve"> </w:t>
      </w:r>
      <w:r>
        <w:t>cancer</w:t>
      </w:r>
      <w:r>
        <w:rPr>
          <w:spacing w:val="-10"/>
        </w:rPr>
        <w:t xml:space="preserve"> </w:t>
      </w:r>
      <w:r>
        <w:t>for</w:t>
      </w:r>
      <w:r>
        <w:rPr>
          <w:spacing w:val="-10"/>
        </w:rPr>
        <w:t xml:space="preserve"> </w:t>
      </w:r>
      <w:r>
        <w:t>each</w:t>
      </w:r>
      <w:r>
        <w:rPr>
          <w:spacing w:val="-10"/>
        </w:rPr>
        <w:t xml:space="preserve"> </w:t>
      </w:r>
      <w:r>
        <w:t>case</w:t>
      </w:r>
      <w:r>
        <w:rPr>
          <w:spacing w:val="-10"/>
        </w:rPr>
        <w:t xml:space="preserve"> </w:t>
      </w:r>
      <w:r>
        <w:t>of</w:t>
      </w:r>
      <w:r>
        <w:rPr>
          <w:spacing w:val="-10"/>
        </w:rPr>
        <w:t xml:space="preserve"> </w:t>
      </w:r>
      <w:r>
        <w:t>mesothelioma, although</w:t>
      </w:r>
      <w:r>
        <w:rPr>
          <w:spacing w:val="-7"/>
        </w:rPr>
        <w:t xml:space="preserve"> </w:t>
      </w:r>
      <w:r>
        <w:t>this</w:t>
      </w:r>
      <w:r>
        <w:rPr>
          <w:spacing w:val="-7"/>
        </w:rPr>
        <w:t xml:space="preserve"> </w:t>
      </w:r>
      <w:r>
        <w:t>study</w:t>
      </w:r>
      <w:r>
        <w:rPr>
          <w:spacing w:val="-7"/>
        </w:rPr>
        <w:t xml:space="preserve"> </w:t>
      </w:r>
      <w:r>
        <w:t>has</w:t>
      </w:r>
      <w:r>
        <w:rPr>
          <w:spacing w:val="-7"/>
        </w:rPr>
        <w:t xml:space="preserve"> </w:t>
      </w:r>
      <w:r>
        <w:t>estimated</w:t>
      </w:r>
      <w:r>
        <w:rPr>
          <w:spacing w:val="-7"/>
        </w:rPr>
        <w:t xml:space="preserve"> </w:t>
      </w:r>
      <w:r>
        <w:t>this</w:t>
      </w:r>
      <w:r>
        <w:rPr>
          <w:spacing w:val="-7"/>
        </w:rPr>
        <w:t xml:space="preserve"> </w:t>
      </w:r>
      <w:r>
        <w:t>to</w:t>
      </w:r>
      <w:r>
        <w:rPr>
          <w:spacing w:val="-7"/>
        </w:rPr>
        <w:t xml:space="preserve"> </w:t>
      </w:r>
      <w:r>
        <w:t>be</w:t>
      </w:r>
      <w:r>
        <w:rPr>
          <w:spacing w:val="-7"/>
        </w:rPr>
        <w:t xml:space="preserve"> </w:t>
      </w:r>
      <w:r>
        <w:t>5.2.</w:t>
      </w:r>
    </w:p>
    <w:p w:rsidR="00110C3D" w:rsidRDefault="00FC6933">
      <w:pPr>
        <w:pStyle w:val="BodyText"/>
        <w:spacing w:before="134" w:line="283" w:lineRule="auto"/>
        <w:ind w:left="431" w:right="1582"/>
      </w:pPr>
      <w:r>
        <w:t>Given</w:t>
      </w:r>
      <w:r>
        <w:rPr>
          <w:spacing w:val="-7"/>
        </w:rPr>
        <w:t xml:space="preserve"> </w:t>
      </w:r>
      <w:r>
        <w:t>its</w:t>
      </w:r>
      <w:r>
        <w:rPr>
          <w:spacing w:val="-7"/>
        </w:rPr>
        <w:t xml:space="preserve"> </w:t>
      </w:r>
      <w:r>
        <w:t>long</w:t>
      </w:r>
      <w:r>
        <w:rPr>
          <w:spacing w:val="-7"/>
        </w:rPr>
        <w:t xml:space="preserve"> </w:t>
      </w:r>
      <w:r>
        <w:t>latency</w:t>
      </w:r>
      <w:r>
        <w:rPr>
          <w:spacing w:val="-7"/>
        </w:rPr>
        <w:t xml:space="preserve"> </w:t>
      </w:r>
      <w:r>
        <w:t>period,</w:t>
      </w:r>
      <w:r>
        <w:rPr>
          <w:spacing w:val="-7"/>
        </w:rPr>
        <w:t xml:space="preserve"> </w:t>
      </w:r>
      <w:r>
        <w:t>ARDs</w:t>
      </w:r>
      <w:r>
        <w:rPr>
          <w:spacing w:val="-7"/>
        </w:rPr>
        <w:t xml:space="preserve"> </w:t>
      </w:r>
      <w:r>
        <w:t>tend</w:t>
      </w:r>
      <w:r>
        <w:rPr>
          <w:spacing w:val="-7"/>
        </w:rPr>
        <w:t xml:space="preserve"> </w:t>
      </w:r>
      <w:r>
        <w:t>to</w:t>
      </w:r>
      <w:r>
        <w:rPr>
          <w:spacing w:val="-7"/>
        </w:rPr>
        <w:t xml:space="preserve"> </w:t>
      </w:r>
      <w:r>
        <w:t>come in</w:t>
      </w:r>
      <w:r>
        <w:rPr>
          <w:spacing w:val="-18"/>
        </w:rPr>
        <w:t xml:space="preserve"> </w:t>
      </w:r>
      <w:r>
        <w:t>‘waves’.</w:t>
      </w:r>
      <w:r>
        <w:rPr>
          <w:spacing w:val="-18"/>
        </w:rPr>
        <w:t xml:space="preserve"> </w:t>
      </w:r>
      <w:r>
        <w:t>From</w:t>
      </w:r>
      <w:r>
        <w:rPr>
          <w:spacing w:val="-18"/>
        </w:rPr>
        <w:t xml:space="preserve"> </w:t>
      </w:r>
      <w:r>
        <w:t>its</w:t>
      </w:r>
      <w:r>
        <w:rPr>
          <w:spacing w:val="-18"/>
        </w:rPr>
        <w:t xml:space="preserve"> </w:t>
      </w:r>
      <w:r>
        <w:t>initial</w:t>
      </w:r>
      <w:r>
        <w:rPr>
          <w:spacing w:val="-18"/>
        </w:rPr>
        <w:t xml:space="preserve"> </w:t>
      </w:r>
      <w:r>
        <w:t>wave</w:t>
      </w:r>
      <w:r>
        <w:rPr>
          <w:spacing w:val="-18"/>
        </w:rPr>
        <w:t xml:space="preserve"> </w:t>
      </w:r>
      <w:r>
        <w:t>of</w:t>
      </w:r>
      <w:r>
        <w:rPr>
          <w:spacing w:val="-18"/>
        </w:rPr>
        <w:t xml:space="preserve"> </w:t>
      </w:r>
      <w:r>
        <w:t>exposure</w:t>
      </w:r>
      <w:r>
        <w:rPr>
          <w:spacing w:val="-18"/>
        </w:rPr>
        <w:t xml:space="preserve"> </w:t>
      </w:r>
      <w:r>
        <w:t>due</w:t>
      </w:r>
      <w:r>
        <w:rPr>
          <w:spacing w:val="-18"/>
        </w:rPr>
        <w:t xml:space="preserve"> </w:t>
      </w:r>
      <w:r>
        <w:t>to</w:t>
      </w:r>
    </w:p>
    <w:p w:rsidR="00110C3D" w:rsidRDefault="00FC6933">
      <w:pPr>
        <w:pStyle w:val="BodyText"/>
        <w:spacing w:before="1" w:line="283" w:lineRule="auto"/>
        <w:ind w:left="431" w:right="1116"/>
      </w:pPr>
      <w:proofErr w:type="gramStart"/>
      <w:r>
        <w:t>asbestos</w:t>
      </w:r>
      <w:proofErr w:type="gramEnd"/>
      <w:r>
        <w:t xml:space="preserve"> mining through to the current third wave of cases expected to be associated with non-occupational exposure as home renovators in particular are exposed.</w:t>
      </w:r>
    </w:p>
    <w:p w:rsidR="00110C3D" w:rsidRDefault="00FC6933">
      <w:pPr>
        <w:pStyle w:val="BodyText"/>
        <w:spacing w:before="132" w:line="283" w:lineRule="auto"/>
        <w:ind w:left="431" w:right="1246"/>
      </w:pPr>
      <w:r>
        <w:t>Chart</w:t>
      </w:r>
      <w:r>
        <w:rPr>
          <w:spacing w:val="-14"/>
        </w:rPr>
        <w:t xml:space="preserve"> </w:t>
      </w:r>
      <w:r>
        <w:t>1</w:t>
      </w:r>
      <w:r>
        <w:rPr>
          <w:spacing w:val="-14"/>
        </w:rPr>
        <w:t xml:space="preserve"> </w:t>
      </w:r>
      <w:r>
        <w:t>presents</w:t>
      </w:r>
      <w:r>
        <w:rPr>
          <w:spacing w:val="-14"/>
        </w:rPr>
        <w:t xml:space="preserve"> </w:t>
      </w:r>
      <w:r>
        <w:t>estimates</w:t>
      </w:r>
      <w:r>
        <w:rPr>
          <w:spacing w:val="-14"/>
        </w:rPr>
        <w:t xml:space="preserve"> </w:t>
      </w:r>
      <w:r>
        <w:t>of</w:t>
      </w:r>
      <w:r>
        <w:rPr>
          <w:spacing w:val="-14"/>
        </w:rPr>
        <w:t xml:space="preserve"> </w:t>
      </w:r>
      <w:r>
        <w:t>the</w:t>
      </w:r>
      <w:r>
        <w:rPr>
          <w:spacing w:val="-14"/>
        </w:rPr>
        <w:t xml:space="preserve"> </w:t>
      </w:r>
      <w:r>
        <w:t>health</w:t>
      </w:r>
      <w:r>
        <w:rPr>
          <w:spacing w:val="-14"/>
        </w:rPr>
        <w:t xml:space="preserve"> </w:t>
      </w:r>
      <w:r>
        <w:t>system</w:t>
      </w:r>
      <w:r>
        <w:rPr>
          <w:spacing w:val="-14"/>
        </w:rPr>
        <w:t xml:space="preserve"> </w:t>
      </w:r>
      <w:r>
        <w:t>and productivity costs of ARD in</w:t>
      </w:r>
      <w:r>
        <w:rPr>
          <w:spacing w:val="-16"/>
        </w:rPr>
        <w:t xml:space="preserve"> </w:t>
      </w:r>
      <w:r>
        <w:rPr>
          <w:spacing w:val="-6"/>
        </w:rPr>
        <w:t>2015.</w:t>
      </w:r>
    </w:p>
    <w:p w:rsidR="00110C3D" w:rsidRDefault="00110C3D">
      <w:pPr>
        <w:spacing w:line="283" w:lineRule="auto"/>
        <w:sectPr w:rsidR="00110C3D">
          <w:type w:val="continuous"/>
          <w:pgSz w:w="11910" w:h="16840"/>
          <w:pgMar w:top="1580" w:right="520" w:bottom="280" w:left="520" w:header="720" w:footer="720" w:gutter="0"/>
          <w:cols w:num="2" w:space="720" w:equalWidth="0">
            <w:col w:w="5189" w:space="40"/>
            <w:col w:w="5641"/>
          </w:cols>
        </w:sectPr>
      </w:pPr>
    </w:p>
    <w:p w:rsidR="00110C3D" w:rsidRDefault="00110C3D">
      <w:pPr>
        <w:pStyle w:val="BodyText"/>
        <w:spacing w:before="9"/>
        <w:rPr>
          <w:sz w:val="8"/>
        </w:rPr>
      </w:pPr>
    </w:p>
    <w:p w:rsidR="00110C3D" w:rsidRDefault="00FC6933">
      <w:pPr>
        <w:pStyle w:val="BodyText"/>
        <w:spacing w:before="103"/>
        <w:ind w:left="1180"/>
        <w:rPr>
          <w:rFonts w:ascii="Arial"/>
        </w:rPr>
      </w:pPr>
      <w:r>
        <w:rPr>
          <w:rFonts w:ascii="Arial"/>
          <w:w w:val="95"/>
        </w:rPr>
        <w:t>Chart 1: Summary of health system costs and productivity losses</w:t>
      </w:r>
    </w:p>
    <w:p w:rsidR="00110C3D" w:rsidRDefault="00FC6933">
      <w:pPr>
        <w:pStyle w:val="BodyText"/>
        <w:spacing w:before="165"/>
        <w:ind w:left="1413"/>
      </w:pPr>
      <w:r>
        <w:pict>
          <v:shapetype id="_x0000_t202" coordsize="21600,21600" o:spt="202" path="m,l,21600r21600,l21600,xe">
            <v:stroke joinstyle="miter"/>
            <v:path gradientshapeok="t" o:connecttype="rect"/>
          </v:shapetype>
          <v:shape id="_x0000_s1035" type="#_x0000_t202" style="position:absolute;left:0;text-align:left;margin-left:113.05pt;margin-top:13.75pt;width:397.75pt;height:112.25pt;z-index:119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0"/>
                    <w:gridCol w:w="1205"/>
                    <w:gridCol w:w="1966"/>
                    <w:gridCol w:w="1205"/>
                    <w:gridCol w:w="3359"/>
                  </w:tblGrid>
                  <w:tr w:rsidR="00110C3D">
                    <w:trPr>
                      <w:trHeight w:val="440"/>
                    </w:trPr>
                    <w:tc>
                      <w:tcPr>
                        <w:tcW w:w="3361" w:type="dxa"/>
                        <w:gridSpan w:val="3"/>
                        <w:tcBorders>
                          <w:top w:val="single" w:sz="2" w:space="0" w:color="000000"/>
                          <w:left w:val="single" w:sz="4" w:space="0" w:color="000000"/>
                          <w:bottom w:val="single" w:sz="2" w:space="0" w:color="000000"/>
                        </w:tcBorders>
                      </w:tcPr>
                      <w:p w:rsidR="00110C3D" w:rsidRDefault="00110C3D">
                        <w:pPr>
                          <w:pStyle w:val="TableParagraph"/>
                          <w:rPr>
                            <w:rFonts w:ascii="Times New Roman"/>
                            <w:sz w:val="16"/>
                          </w:rPr>
                        </w:pPr>
                      </w:p>
                    </w:tc>
                    <w:tc>
                      <w:tcPr>
                        <w:tcW w:w="1205" w:type="dxa"/>
                        <w:vMerge w:val="restart"/>
                        <w:tcBorders>
                          <w:top w:val="single" w:sz="2" w:space="0" w:color="000000"/>
                        </w:tcBorders>
                        <w:shd w:val="clear" w:color="auto" w:fill="D71920"/>
                      </w:tcPr>
                      <w:p w:rsidR="00110C3D" w:rsidRDefault="00110C3D">
                        <w:pPr>
                          <w:pStyle w:val="TableParagraph"/>
                          <w:rPr>
                            <w:rFonts w:ascii="Times New Roman"/>
                            <w:sz w:val="16"/>
                          </w:rPr>
                        </w:pPr>
                      </w:p>
                    </w:tc>
                    <w:tc>
                      <w:tcPr>
                        <w:tcW w:w="3359" w:type="dxa"/>
                        <w:tcBorders>
                          <w:top w:val="single" w:sz="2" w:space="0" w:color="000000"/>
                          <w:bottom w:val="single" w:sz="2" w:space="0" w:color="000000"/>
                        </w:tcBorders>
                      </w:tcPr>
                      <w:p w:rsidR="00110C3D" w:rsidRDefault="00110C3D">
                        <w:pPr>
                          <w:pStyle w:val="TableParagraph"/>
                          <w:rPr>
                            <w:rFonts w:ascii="Times New Roman"/>
                            <w:sz w:val="16"/>
                          </w:rPr>
                        </w:pPr>
                      </w:p>
                    </w:tc>
                  </w:tr>
                  <w:tr w:rsidR="00110C3D">
                    <w:trPr>
                      <w:trHeight w:val="440"/>
                    </w:trPr>
                    <w:tc>
                      <w:tcPr>
                        <w:tcW w:w="3361" w:type="dxa"/>
                        <w:gridSpan w:val="3"/>
                        <w:tcBorders>
                          <w:top w:val="single" w:sz="2" w:space="0" w:color="000000"/>
                          <w:left w:val="single" w:sz="4" w:space="0" w:color="000000"/>
                          <w:bottom w:val="single" w:sz="2" w:space="0" w:color="000000"/>
                        </w:tcBorders>
                      </w:tcPr>
                      <w:p w:rsidR="00110C3D" w:rsidRDefault="00110C3D">
                        <w:pPr>
                          <w:pStyle w:val="TableParagraph"/>
                          <w:rPr>
                            <w:rFonts w:ascii="Times New Roman"/>
                            <w:sz w:val="16"/>
                          </w:rPr>
                        </w:pPr>
                      </w:p>
                    </w:tc>
                    <w:tc>
                      <w:tcPr>
                        <w:tcW w:w="1205" w:type="dxa"/>
                        <w:vMerge/>
                        <w:tcBorders>
                          <w:top w:val="nil"/>
                        </w:tcBorders>
                        <w:shd w:val="clear" w:color="auto" w:fill="D71920"/>
                      </w:tcPr>
                      <w:p w:rsidR="00110C3D" w:rsidRDefault="00110C3D">
                        <w:pPr>
                          <w:rPr>
                            <w:sz w:val="2"/>
                            <w:szCs w:val="2"/>
                          </w:rPr>
                        </w:pPr>
                      </w:p>
                    </w:tc>
                    <w:tc>
                      <w:tcPr>
                        <w:tcW w:w="3359" w:type="dxa"/>
                        <w:tcBorders>
                          <w:top w:val="single" w:sz="2" w:space="0" w:color="000000"/>
                          <w:bottom w:val="single" w:sz="2" w:space="0" w:color="000000"/>
                        </w:tcBorders>
                      </w:tcPr>
                      <w:p w:rsidR="00110C3D" w:rsidRDefault="00FC6933">
                        <w:pPr>
                          <w:pStyle w:val="TableParagraph"/>
                          <w:spacing w:before="121"/>
                          <w:ind w:left="1507"/>
                          <w:rPr>
                            <w:sz w:val="18"/>
                          </w:rPr>
                        </w:pPr>
                        <w:r>
                          <w:rPr>
                            <w:sz w:val="18"/>
                          </w:rPr>
                          <w:t>Productivity losses</w:t>
                        </w:r>
                      </w:p>
                    </w:tc>
                  </w:tr>
                  <w:tr w:rsidR="00110C3D">
                    <w:trPr>
                      <w:trHeight w:val="204"/>
                    </w:trPr>
                    <w:tc>
                      <w:tcPr>
                        <w:tcW w:w="3361" w:type="dxa"/>
                        <w:gridSpan w:val="3"/>
                        <w:tcBorders>
                          <w:top w:val="single" w:sz="2" w:space="0" w:color="000000"/>
                          <w:left w:val="single" w:sz="4" w:space="0" w:color="000000"/>
                        </w:tcBorders>
                      </w:tcPr>
                      <w:p w:rsidR="00110C3D" w:rsidRDefault="00110C3D">
                        <w:pPr>
                          <w:pStyle w:val="TableParagraph"/>
                          <w:rPr>
                            <w:rFonts w:ascii="Times New Roman"/>
                            <w:sz w:val="14"/>
                          </w:rPr>
                        </w:pPr>
                      </w:p>
                    </w:tc>
                    <w:tc>
                      <w:tcPr>
                        <w:tcW w:w="1205" w:type="dxa"/>
                        <w:vMerge/>
                        <w:tcBorders>
                          <w:top w:val="nil"/>
                        </w:tcBorders>
                        <w:shd w:val="clear" w:color="auto" w:fill="D71920"/>
                      </w:tcPr>
                      <w:p w:rsidR="00110C3D" w:rsidRDefault="00110C3D">
                        <w:pPr>
                          <w:rPr>
                            <w:sz w:val="2"/>
                            <w:szCs w:val="2"/>
                          </w:rPr>
                        </w:pPr>
                      </w:p>
                    </w:tc>
                    <w:tc>
                      <w:tcPr>
                        <w:tcW w:w="3359" w:type="dxa"/>
                        <w:vMerge w:val="restart"/>
                        <w:tcBorders>
                          <w:top w:val="single" w:sz="2" w:space="0" w:color="000000"/>
                          <w:bottom w:val="single" w:sz="2" w:space="0" w:color="000000"/>
                        </w:tcBorders>
                      </w:tcPr>
                      <w:p w:rsidR="00110C3D" w:rsidRDefault="00FC6933">
                        <w:pPr>
                          <w:pStyle w:val="TableParagraph"/>
                          <w:spacing w:before="82"/>
                          <w:ind w:left="1507"/>
                          <w:rPr>
                            <w:sz w:val="18"/>
                          </w:rPr>
                        </w:pPr>
                        <w:r>
                          <w:rPr>
                            <w:sz w:val="18"/>
                          </w:rPr>
                          <w:t>Health system costs</w:t>
                        </w:r>
                      </w:p>
                    </w:tc>
                  </w:tr>
                  <w:tr w:rsidR="00110C3D">
                    <w:trPr>
                      <w:trHeight w:val="231"/>
                    </w:trPr>
                    <w:tc>
                      <w:tcPr>
                        <w:tcW w:w="190" w:type="dxa"/>
                        <w:tcBorders>
                          <w:left w:val="single" w:sz="4" w:space="0" w:color="000000"/>
                          <w:bottom w:val="single" w:sz="2" w:space="0" w:color="000000"/>
                        </w:tcBorders>
                      </w:tcPr>
                      <w:p w:rsidR="00110C3D" w:rsidRDefault="00110C3D">
                        <w:pPr>
                          <w:pStyle w:val="TableParagraph"/>
                          <w:rPr>
                            <w:rFonts w:ascii="Times New Roman"/>
                            <w:sz w:val="16"/>
                          </w:rPr>
                        </w:pPr>
                      </w:p>
                    </w:tc>
                    <w:tc>
                      <w:tcPr>
                        <w:tcW w:w="1205" w:type="dxa"/>
                        <w:vMerge w:val="restart"/>
                        <w:shd w:val="clear" w:color="auto" w:fill="D71920"/>
                      </w:tcPr>
                      <w:p w:rsidR="00110C3D" w:rsidRDefault="00110C3D">
                        <w:pPr>
                          <w:pStyle w:val="TableParagraph"/>
                          <w:rPr>
                            <w:rFonts w:ascii="Times New Roman"/>
                            <w:sz w:val="16"/>
                          </w:rPr>
                        </w:pPr>
                      </w:p>
                    </w:tc>
                    <w:tc>
                      <w:tcPr>
                        <w:tcW w:w="1966" w:type="dxa"/>
                        <w:tcBorders>
                          <w:bottom w:val="single" w:sz="2" w:space="0" w:color="000000"/>
                        </w:tcBorders>
                      </w:tcPr>
                      <w:p w:rsidR="00110C3D" w:rsidRDefault="00110C3D">
                        <w:pPr>
                          <w:pStyle w:val="TableParagraph"/>
                          <w:rPr>
                            <w:rFonts w:ascii="Times New Roman"/>
                            <w:sz w:val="16"/>
                          </w:rPr>
                        </w:pPr>
                      </w:p>
                    </w:tc>
                    <w:tc>
                      <w:tcPr>
                        <w:tcW w:w="1205" w:type="dxa"/>
                        <w:vMerge/>
                        <w:tcBorders>
                          <w:top w:val="nil"/>
                        </w:tcBorders>
                        <w:shd w:val="clear" w:color="auto" w:fill="D71920"/>
                      </w:tcPr>
                      <w:p w:rsidR="00110C3D" w:rsidRDefault="00110C3D">
                        <w:pPr>
                          <w:rPr>
                            <w:sz w:val="2"/>
                            <w:szCs w:val="2"/>
                          </w:rPr>
                        </w:pPr>
                      </w:p>
                    </w:tc>
                    <w:tc>
                      <w:tcPr>
                        <w:tcW w:w="3359" w:type="dxa"/>
                        <w:vMerge/>
                        <w:tcBorders>
                          <w:top w:val="nil"/>
                          <w:bottom w:val="single" w:sz="2" w:space="0" w:color="000000"/>
                        </w:tcBorders>
                      </w:tcPr>
                      <w:p w:rsidR="00110C3D" w:rsidRDefault="00110C3D">
                        <w:pPr>
                          <w:rPr>
                            <w:sz w:val="2"/>
                            <w:szCs w:val="2"/>
                          </w:rPr>
                        </w:pPr>
                      </w:p>
                    </w:tc>
                  </w:tr>
                  <w:tr w:rsidR="00110C3D">
                    <w:trPr>
                      <w:trHeight w:val="440"/>
                    </w:trPr>
                    <w:tc>
                      <w:tcPr>
                        <w:tcW w:w="190" w:type="dxa"/>
                        <w:tcBorders>
                          <w:top w:val="single" w:sz="2" w:space="0" w:color="000000"/>
                          <w:left w:val="single" w:sz="4" w:space="0" w:color="000000"/>
                          <w:bottom w:val="single" w:sz="2" w:space="0" w:color="000000"/>
                        </w:tcBorders>
                      </w:tcPr>
                      <w:p w:rsidR="00110C3D" w:rsidRDefault="00110C3D">
                        <w:pPr>
                          <w:pStyle w:val="TableParagraph"/>
                          <w:rPr>
                            <w:rFonts w:ascii="Times New Roman"/>
                            <w:sz w:val="16"/>
                          </w:rPr>
                        </w:pPr>
                      </w:p>
                    </w:tc>
                    <w:tc>
                      <w:tcPr>
                        <w:tcW w:w="1205" w:type="dxa"/>
                        <w:vMerge/>
                        <w:tcBorders>
                          <w:top w:val="nil"/>
                        </w:tcBorders>
                        <w:shd w:val="clear" w:color="auto" w:fill="D71920"/>
                      </w:tcPr>
                      <w:p w:rsidR="00110C3D" w:rsidRDefault="00110C3D">
                        <w:pPr>
                          <w:rPr>
                            <w:sz w:val="2"/>
                            <w:szCs w:val="2"/>
                          </w:rPr>
                        </w:pPr>
                      </w:p>
                    </w:tc>
                    <w:tc>
                      <w:tcPr>
                        <w:tcW w:w="1966" w:type="dxa"/>
                        <w:tcBorders>
                          <w:top w:val="single" w:sz="2" w:space="0" w:color="000000"/>
                          <w:bottom w:val="single" w:sz="2" w:space="0" w:color="000000"/>
                        </w:tcBorders>
                      </w:tcPr>
                      <w:p w:rsidR="00110C3D" w:rsidRDefault="00110C3D">
                        <w:pPr>
                          <w:pStyle w:val="TableParagraph"/>
                          <w:rPr>
                            <w:rFonts w:ascii="Times New Roman"/>
                            <w:sz w:val="16"/>
                          </w:rPr>
                        </w:pPr>
                      </w:p>
                    </w:tc>
                    <w:tc>
                      <w:tcPr>
                        <w:tcW w:w="1205" w:type="dxa"/>
                        <w:vMerge/>
                        <w:tcBorders>
                          <w:top w:val="nil"/>
                        </w:tcBorders>
                        <w:shd w:val="clear" w:color="auto" w:fill="D71920"/>
                      </w:tcPr>
                      <w:p w:rsidR="00110C3D" w:rsidRDefault="00110C3D">
                        <w:pPr>
                          <w:rPr>
                            <w:sz w:val="2"/>
                            <w:szCs w:val="2"/>
                          </w:rPr>
                        </w:pPr>
                      </w:p>
                    </w:tc>
                    <w:tc>
                      <w:tcPr>
                        <w:tcW w:w="3359" w:type="dxa"/>
                        <w:tcBorders>
                          <w:top w:val="single" w:sz="2" w:space="0" w:color="000000"/>
                          <w:bottom w:val="single" w:sz="2" w:space="0" w:color="000000"/>
                        </w:tcBorders>
                      </w:tcPr>
                      <w:p w:rsidR="00110C3D" w:rsidRDefault="00110C3D">
                        <w:pPr>
                          <w:pStyle w:val="TableParagraph"/>
                          <w:rPr>
                            <w:rFonts w:ascii="Times New Roman"/>
                            <w:sz w:val="16"/>
                          </w:rPr>
                        </w:pPr>
                      </w:p>
                    </w:tc>
                  </w:tr>
                  <w:tr w:rsidR="00110C3D">
                    <w:trPr>
                      <w:trHeight w:val="184"/>
                    </w:trPr>
                    <w:tc>
                      <w:tcPr>
                        <w:tcW w:w="190" w:type="dxa"/>
                        <w:vMerge w:val="restart"/>
                        <w:tcBorders>
                          <w:top w:val="single" w:sz="2" w:space="0" w:color="000000"/>
                          <w:left w:val="single" w:sz="4" w:space="0" w:color="000000"/>
                          <w:bottom w:val="single" w:sz="4" w:space="0" w:color="000000"/>
                        </w:tcBorders>
                      </w:tcPr>
                      <w:p w:rsidR="00110C3D" w:rsidRDefault="00110C3D">
                        <w:pPr>
                          <w:pStyle w:val="TableParagraph"/>
                          <w:rPr>
                            <w:rFonts w:ascii="Times New Roman"/>
                            <w:sz w:val="16"/>
                          </w:rPr>
                        </w:pPr>
                      </w:p>
                    </w:tc>
                    <w:tc>
                      <w:tcPr>
                        <w:tcW w:w="1205" w:type="dxa"/>
                        <w:vMerge/>
                        <w:tcBorders>
                          <w:top w:val="nil"/>
                        </w:tcBorders>
                        <w:shd w:val="clear" w:color="auto" w:fill="D71920"/>
                      </w:tcPr>
                      <w:p w:rsidR="00110C3D" w:rsidRDefault="00110C3D">
                        <w:pPr>
                          <w:rPr>
                            <w:sz w:val="2"/>
                            <w:szCs w:val="2"/>
                          </w:rPr>
                        </w:pPr>
                      </w:p>
                    </w:tc>
                    <w:tc>
                      <w:tcPr>
                        <w:tcW w:w="1966" w:type="dxa"/>
                        <w:vMerge w:val="restart"/>
                        <w:tcBorders>
                          <w:top w:val="single" w:sz="2" w:space="0" w:color="000000"/>
                          <w:bottom w:val="single" w:sz="18" w:space="0" w:color="D71920"/>
                        </w:tcBorders>
                      </w:tcPr>
                      <w:p w:rsidR="00110C3D" w:rsidRDefault="00110C3D">
                        <w:pPr>
                          <w:pStyle w:val="TableParagraph"/>
                          <w:rPr>
                            <w:rFonts w:ascii="Times New Roman"/>
                            <w:sz w:val="16"/>
                          </w:rPr>
                        </w:pPr>
                      </w:p>
                    </w:tc>
                    <w:tc>
                      <w:tcPr>
                        <w:tcW w:w="1205" w:type="dxa"/>
                        <w:vMerge/>
                        <w:tcBorders>
                          <w:top w:val="nil"/>
                        </w:tcBorders>
                        <w:shd w:val="clear" w:color="auto" w:fill="D71920"/>
                      </w:tcPr>
                      <w:p w:rsidR="00110C3D" w:rsidRDefault="00110C3D">
                        <w:pPr>
                          <w:rPr>
                            <w:sz w:val="2"/>
                            <w:szCs w:val="2"/>
                          </w:rPr>
                        </w:pPr>
                      </w:p>
                    </w:tc>
                    <w:tc>
                      <w:tcPr>
                        <w:tcW w:w="3359" w:type="dxa"/>
                        <w:vMerge w:val="restart"/>
                        <w:tcBorders>
                          <w:top w:val="single" w:sz="2" w:space="0" w:color="000000"/>
                          <w:bottom w:val="single" w:sz="12" w:space="0" w:color="D71920"/>
                        </w:tcBorders>
                      </w:tcPr>
                      <w:p w:rsidR="00110C3D" w:rsidRDefault="00110C3D">
                        <w:pPr>
                          <w:pStyle w:val="TableParagraph"/>
                          <w:rPr>
                            <w:rFonts w:ascii="Times New Roman"/>
                            <w:sz w:val="16"/>
                          </w:rPr>
                        </w:pPr>
                      </w:p>
                    </w:tc>
                  </w:tr>
                  <w:tr w:rsidR="00110C3D">
                    <w:trPr>
                      <w:trHeight w:val="129"/>
                    </w:trPr>
                    <w:tc>
                      <w:tcPr>
                        <w:tcW w:w="190" w:type="dxa"/>
                        <w:vMerge/>
                        <w:tcBorders>
                          <w:top w:val="nil"/>
                          <w:left w:val="single" w:sz="4" w:space="0" w:color="000000"/>
                          <w:bottom w:val="single" w:sz="4" w:space="0" w:color="000000"/>
                        </w:tcBorders>
                      </w:tcPr>
                      <w:p w:rsidR="00110C3D" w:rsidRDefault="00110C3D">
                        <w:pPr>
                          <w:rPr>
                            <w:sz w:val="2"/>
                            <w:szCs w:val="2"/>
                          </w:rPr>
                        </w:pPr>
                      </w:p>
                    </w:tc>
                    <w:tc>
                      <w:tcPr>
                        <w:tcW w:w="1205" w:type="dxa"/>
                        <w:vMerge w:val="restart"/>
                        <w:tcBorders>
                          <w:bottom w:val="single" w:sz="4" w:space="0" w:color="000000"/>
                        </w:tcBorders>
                        <w:shd w:val="clear" w:color="auto" w:fill="1C75BC"/>
                      </w:tcPr>
                      <w:p w:rsidR="00110C3D" w:rsidRDefault="00110C3D">
                        <w:pPr>
                          <w:pStyle w:val="TableParagraph"/>
                          <w:rPr>
                            <w:rFonts w:ascii="Times New Roman"/>
                            <w:sz w:val="16"/>
                          </w:rPr>
                        </w:pPr>
                      </w:p>
                    </w:tc>
                    <w:tc>
                      <w:tcPr>
                        <w:tcW w:w="1966" w:type="dxa"/>
                        <w:vMerge/>
                        <w:tcBorders>
                          <w:top w:val="nil"/>
                          <w:bottom w:val="single" w:sz="18" w:space="0" w:color="D71920"/>
                        </w:tcBorders>
                      </w:tcPr>
                      <w:p w:rsidR="00110C3D" w:rsidRDefault="00110C3D">
                        <w:pPr>
                          <w:rPr>
                            <w:sz w:val="2"/>
                            <w:szCs w:val="2"/>
                          </w:rPr>
                        </w:pPr>
                      </w:p>
                    </w:tc>
                    <w:tc>
                      <w:tcPr>
                        <w:tcW w:w="1205" w:type="dxa"/>
                        <w:vMerge/>
                        <w:tcBorders>
                          <w:top w:val="nil"/>
                        </w:tcBorders>
                        <w:shd w:val="clear" w:color="auto" w:fill="D71920"/>
                      </w:tcPr>
                      <w:p w:rsidR="00110C3D" w:rsidRDefault="00110C3D">
                        <w:pPr>
                          <w:rPr>
                            <w:sz w:val="2"/>
                            <w:szCs w:val="2"/>
                          </w:rPr>
                        </w:pPr>
                      </w:p>
                    </w:tc>
                    <w:tc>
                      <w:tcPr>
                        <w:tcW w:w="3359" w:type="dxa"/>
                        <w:vMerge/>
                        <w:tcBorders>
                          <w:top w:val="nil"/>
                          <w:bottom w:val="single" w:sz="12" w:space="0" w:color="D71920"/>
                        </w:tcBorders>
                      </w:tcPr>
                      <w:p w:rsidR="00110C3D" w:rsidRDefault="00110C3D">
                        <w:pPr>
                          <w:rPr>
                            <w:sz w:val="2"/>
                            <w:szCs w:val="2"/>
                          </w:rPr>
                        </w:pPr>
                      </w:p>
                    </w:tc>
                  </w:tr>
                  <w:tr w:rsidR="00110C3D">
                    <w:trPr>
                      <w:trHeight w:val="120"/>
                    </w:trPr>
                    <w:tc>
                      <w:tcPr>
                        <w:tcW w:w="190" w:type="dxa"/>
                        <w:vMerge/>
                        <w:tcBorders>
                          <w:top w:val="nil"/>
                          <w:left w:val="single" w:sz="4" w:space="0" w:color="000000"/>
                          <w:bottom w:val="single" w:sz="4" w:space="0" w:color="000000"/>
                        </w:tcBorders>
                      </w:tcPr>
                      <w:p w:rsidR="00110C3D" w:rsidRDefault="00110C3D">
                        <w:pPr>
                          <w:rPr>
                            <w:sz w:val="2"/>
                            <w:szCs w:val="2"/>
                          </w:rPr>
                        </w:pPr>
                      </w:p>
                    </w:tc>
                    <w:tc>
                      <w:tcPr>
                        <w:tcW w:w="1205" w:type="dxa"/>
                        <w:vMerge/>
                        <w:tcBorders>
                          <w:top w:val="nil"/>
                          <w:bottom w:val="single" w:sz="4" w:space="0" w:color="000000"/>
                        </w:tcBorders>
                        <w:shd w:val="clear" w:color="auto" w:fill="1C75BC"/>
                      </w:tcPr>
                      <w:p w:rsidR="00110C3D" w:rsidRDefault="00110C3D">
                        <w:pPr>
                          <w:rPr>
                            <w:sz w:val="2"/>
                            <w:szCs w:val="2"/>
                          </w:rPr>
                        </w:pPr>
                      </w:p>
                    </w:tc>
                    <w:tc>
                      <w:tcPr>
                        <w:tcW w:w="1966" w:type="dxa"/>
                        <w:vMerge/>
                        <w:tcBorders>
                          <w:top w:val="nil"/>
                          <w:bottom w:val="single" w:sz="18" w:space="0" w:color="D71920"/>
                        </w:tcBorders>
                      </w:tcPr>
                      <w:p w:rsidR="00110C3D" w:rsidRDefault="00110C3D">
                        <w:pPr>
                          <w:rPr>
                            <w:sz w:val="2"/>
                            <w:szCs w:val="2"/>
                          </w:rPr>
                        </w:pPr>
                      </w:p>
                    </w:tc>
                    <w:tc>
                      <w:tcPr>
                        <w:tcW w:w="1205" w:type="dxa"/>
                        <w:tcBorders>
                          <w:bottom w:val="single" w:sz="4" w:space="0" w:color="000000"/>
                        </w:tcBorders>
                        <w:shd w:val="clear" w:color="auto" w:fill="1C75BC"/>
                      </w:tcPr>
                      <w:p w:rsidR="00110C3D" w:rsidRDefault="00110C3D">
                        <w:pPr>
                          <w:pStyle w:val="TableParagraph"/>
                          <w:rPr>
                            <w:rFonts w:ascii="Times New Roman"/>
                            <w:sz w:val="6"/>
                          </w:rPr>
                        </w:pPr>
                      </w:p>
                    </w:tc>
                    <w:tc>
                      <w:tcPr>
                        <w:tcW w:w="3359" w:type="dxa"/>
                        <w:vMerge/>
                        <w:tcBorders>
                          <w:top w:val="nil"/>
                          <w:bottom w:val="single" w:sz="12" w:space="0" w:color="D71920"/>
                        </w:tcBorders>
                      </w:tcPr>
                      <w:p w:rsidR="00110C3D" w:rsidRDefault="00110C3D">
                        <w:pPr>
                          <w:rPr>
                            <w:sz w:val="2"/>
                            <w:szCs w:val="2"/>
                          </w:rPr>
                        </w:pPr>
                      </w:p>
                    </w:tc>
                  </w:tr>
                </w:tbl>
                <w:p w:rsidR="00110C3D" w:rsidRDefault="00110C3D">
                  <w:pPr>
                    <w:pStyle w:val="BodyText"/>
                  </w:pPr>
                </w:p>
              </w:txbxContent>
            </v:textbox>
            <w10:wrap anchorx="page"/>
          </v:shape>
        </w:pict>
      </w:r>
      <w:r>
        <w:t>250</w:t>
      </w:r>
    </w:p>
    <w:p w:rsidR="00110C3D" w:rsidRDefault="00110C3D">
      <w:pPr>
        <w:pStyle w:val="BodyText"/>
        <w:spacing w:before="6"/>
      </w:pPr>
    </w:p>
    <w:p w:rsidR="00110C3D" w:rsidRDefault="00FC6933">
      <w:pPr>
        <w:pStyle w:val="BodyText"/>
        <w:spacing w:before="1" w:after="19"/>
        <w:ind w:left="1413"/>
      </w:pPr>
      <w:r>
        <w:t>200</w:t>
      </w:r>
    </w:p>
    <w:p w:rsidR="00110C3D" w:rsidRDefault="00FC6933">
      <w:pPr>
        <w:pStyle w:val="BodyText"/>
        <w:spacing w:line="226" w:lineRule="exact"/>
        <w:ind w:left="7544"/>
        <w:rPr>
          <w:sz w:val="20"/>
        </w:rPr>
      </w:pPr>
      <w:r>
        <w:rPr>
          <w:position w:val="-4"/>
          <w:sz w:val="20"/>
        </w:rPr>
      </w:r>
      <w:r>
        <w:rPr>
          <w:position w:val="-4"/>
          <w:sz w:val="20"/>
        </w:rPr>
        <w:pict>
          <v:group id="_x0000_s1033" style="width:10.65pt;height:11.35pt;mso-position-horizontal-relative:char;mso-position-vertical-relative:line" coordsize="213,227">
            <v:rect id="_x0000_s1034" style="position:absolute;width:213;height:227" fillcolor="#d71920" stroked="f"/>
            <w10:wrap type="none"/>
            <w10:anchorlock/>
          </v:group>
        </w:pict>
      </w:r>
    </w:p>
    <w:p w:rsidR="00110C3D" w:rsidRDefault="00FC6933">
      <w:pPr>
        <w:pStyle w:val="BodyText"/>
        <w:ind w:left="1413"/>
      </w:pPr>
      <w:r>
        <w:pict>
          <v:shape id="_x0000_s1032" type="#_x0000_t202" style="position:absolute;left:0;text-align:left;margin-left:82.05pt;margin-top:-.2pt;width:12.8pt;height:36.35pt;z-index:1168;mso-position-horizontal-relative:page" filled="f" stroked="f">
            <v:textbox style="layout-flow:vertical;mso-layout-flow-alt:bottom-to-top" inset="0,0,0,0">
              <w:txbxContent>
                <w:p w:rsidR="00110C3D" w:rsidRDefault="00FC6933">
                  <w:pPr>
                    <w:pStyle w:val="BodyText"/>
                    <w:spacing w:before="19"/>
                    <w:ind w:left="20"/>
                  </w:pPr>
                  <w:r>
                    <w:rPr>
                      <w:w w:val="110"/>
                    </w:rPr>
                    <w:t>$ Million</w:t>
                  </w:r>
                </w:p>
              </w:txbxContent>
            </v:textbox>
            <w10:wrap anchorx="page"/>
          </v:shape>
        </w:pict>
      </w:r>
      <w:r>
        <w:t>150</w:t>
      </w:r>
    </w:p>
    <w:p w:rsidR="00110C3D" w:rsidRDefault="00FC6933">
      <w:pPr>
        <w:pStyle w:val="BodyText"/>
        <w:spacing w:line="226" w:lineRule="exact"/>
        <w:ind w:left="7544"/>
        <w:rPr>
          <w:sz w:val="20"/>
        </w:rPr>
      </w:pPr>
      <w:r>
        <w:rPr>
          <w:position w:val="-4"/>
          <w:sz w:val="20"/>
        </w:rPr>
      </w:r>
      <w:r>
        <w:rPr>
          <w:position w:val="-4"/>
          <w:sz w:val="20"/>
        </w:rPr>
        <w:pict>
          <v:group id="_x0000_s1030" style="width:10.65pt;height:11.35pt;mso-position-horizontal-relative:char;mso-position-vertical-relative:line" coordsize="213,227">
            <v:rect id="_x0000_s1031" style="position:absolute;width:213;height:227" fillcolor="#1c75bc" stroked="f"/>
            <w10:wrap type="none"/>
            <w10:anchorlock/>
          </v:group>
        </w:pict>
      </w:r>
    </w:p>
    <w:p w:rsidR="00110C3D" w:rsidRDefault="00FC6933">
      <w:pPr>
        <w:pStyle w:val="BodyText"/>
        <w:spacing w:before="13"/>
        <w:ind w:left="1413"/>
      </w:pPr>
      <w:r>
        <w:t>100</w:t>
      </w:r>
    </w:p>
    <w:p w:rsidR="00110C3D" w:rsidRDefault="00110C3D">
      <w:pPr>
        <w:pStyle w:val="BodyText"/>
        <w:spacing w:before="6"/>
        <w:rPr>
          <w:sz w:val="9"/>
        </w:rPr>
      </w:pPr>
    </w:p>
    <w:p w:rsidR="00110C3D" w:rsidRDefault="00110C3D">
      <w:pPr>
        <w:rPr>
          <w:sz w:val="9"/>
        </w:rPr>
        <w:sectPr w:rsidR="00110C3D">
          <w:type w:val="continuous"/>
          <w:pgSz w:w="11910" w:h="16840"/>
          <w:pgMar w:top="1580" w:right="520" w:bottom="280" w:left="520" w:header="720" w:footer="720" w:gutter="0"/>
          <w:cols w:space="720"/>
        </w:sectPr>
      </w:pPr>
    </w:p>
    <w:p w:rsidR="00110C3D" w:rsidRDefault="00FC6933">
      <w:pPr>
        <w:pStyle w:val="BodyText"/>
        <w:spacing w:before="100"/>
        <w:ind w:left="1474" w:right="1355"/>
        <w:jc w:val="center"/>
      </w:pPr>
      <w:r>
        <w:t>50</w:t>
      </w:r>
    </w:p>
    <w:p w:rsidR="00110C3D" w:rsidRDefault="00FC6933">
      <w:pPr>
        <w:pStyle w:val="BodyText"/>
        <w:spacing w:before="179"/>
        <w:ind w:left="206"/>
        <w:jc w:val="center"/>
      </w:pPr>
      <w:r>
        <w:rPr>
          <w:w w:val="94"/>
        </w:rPr>
        <w:t>0</w:t>
      </w:r>
    </w:p>
    <w:p w:rsidR="00110C3D" w:rsidRDefault="00FC6933">
      <w:pPr>
        <w:pStyle w:val="BodyText"/>
        <w:spacing w:before="39"/>
        <w:jc w:val="right"/>
      </w:pPr>
      <w:r>
        <w:rPr>
          <w:w w:val="95"/>
        </w:rPr>
        <w:t>Mesothelioma</w:t>
      </w:r>
    </w:p>
    <w:p w:rsidR="00110C3D" w:rsidRDefault="00FC6933">
      <w:pPr>
        <w:pStyle w:val="BodyText"/>
        <w:rPr>
          <w:sz w:val="22"/>
        </w:rPr>
      </w:pPr>
      <w:r>
        <w:br w:type="column"/>
      </w:r>
    </w:p>
    <w:p w:rsidR="00110C3D" w:rsidRDefault="00110C3D">
      <w:pPr>
        <w:pStyle w:val="BodyText"/>
        <w:rPr>
          <w:sz w:val="22"/>
        </w:rPr>
      </w:pPr>
    </w:p>
    <w:p w:rsidR="00110C3D" w:rsidRDefault="00110C3D">
      <w:pPr>
        <w:pStyle w:val="BodyText"/>
      </w:pPr>
    </w:p>
    <w:p w:rsidR="00110C3D" w:rsidRDefault="00FC6933">
      <w:pPr>
        <w:pStyle w:val="BodyText"/>
        <w:ind w:left="684"/>
      </w:pPr>
      <w:r>
        <w:rPr>
          <w:w w:val="95"/>
        </w:rPr>
        <w:t>Asbestosis</w:t>
      </w:r>
    </w:p>
    <w:p w:rsidR="00110C3D" w:rsidRDefault="00FC6933">
      <w:pPr>
        <w:pStyle w:val="BodyText"/>
        <w:rPr>
          <w:sz w:val="20"/>
        </w:rPr>
      </w:pPr>
      <w:r>
        <w:br w:type="column"/>
      </w:r>
    </w:p>
    <w:p w:rsidR="00110C3D" w:rsidRDefault="00FC6933">
      <w:pPr>
        <w:pStyle w:val="BodyText"/>
        <w:spacing w:before="8"/>
      </w:pPr>
      <w:r>
        <w:pict>
          <v:group id="_x0000_s1027" style="position:absolute;margin-left:360.6pt;margin-top:13.35pt;width:60.3pt;height:8pt;z-index:1096;mso-wrap-distance-left:0;mso-wrap-distance-right:0;mso-position-horizontal-relative:page" coordorigin="7212,267" coordsize="1206,160">
            <v:rect id="_x0000_s1029" style="position:absolute;left:7212;top:266;width:1206;height:26" fillcolor="#d71920" stroked="f"/>
            <v:rect id="_x0000_s1028" style="position:absolute;left:7212;top:292;width:1206;height:134" fillcolor="#1c75bc" stroked="f"/>
            <w10:wrap type="topAndBottom" anchorx="page"/>
          </v:group>
        </w:pict>
      </w:r>
    </w:p>
    <w:p w:rsidR="00110C3D" w:rsidRDefault="00FC6933">
      <w:pPr>
        <w:pStyle w:val="BodyText"/>
        <w:tabs>
          <w:tab w:val="left" w:pos="2215"/>
          <w:tab w:val="left" w:pos="3821"/>
        </w:tabs>
        <w:spacing w:before="58"/>
        <w:ind w:left="731"/>
      </w:pPr>
      <w:r>
        <w:t>Lung</w:t>
      </w:r>
      <w:r>
        <w:rPr>
          <w:spacing w:val="-9"/>
        </w:rPr>
        <w:t xml:space="preserve"> </w:t>
      </w:r>
      <w:r>
        <w:t>cancer</w:t>
      </w:r>
      <w:r>
        <w:tab/>
        <w:t>Larynx</w:t>
      </w:r>
      <w:r>
        <w:rPr>
          <w:spacing w:val="-12"/>
        </w:rPr>
        <w:t xml:space="preserve"> </w:t>
      </w:r>
      <w:r>
        <w:t>cancer</w:t>
      </w:r>
      <w:r>
        <w:tab/>
      </w:r>
      <w:proofErr w:type="gramStart"/>
      <w:r>
        <w:t>Ovarian</w:t>
      </w:r>
      <w:proofErr w:type="gramEnd"/>
      <w:r>
        <w:rPr>
          <w:spacing w:val="-7"/>
        </w:rPr>
        <w:t xml:space="preserve"> </w:t>
      </w:r>
      <w:r>
        <w:t>cancer</w:t>
      </w:r>
    </w:p>
    <w:p w:rsidR="00110C3D" w:rsidRDefault="00110C3D">
      <w:pPr>
        <w:sectPr w:rsidR="00110C3D">
          <w:type w:val="continuous"/>
          <w:pgSz w:w="11910" w:h="16840"/>
          <w:pgMar w:top="1580" w:right="520" w:bottom="280" w:left="520" w:header="720" w:footer="720" w:gutter="0"/>
          <w:cols w:num="3" w:space="720" w:equalWidth="0">
            <w:col w:w="3053" w:space="40"/>
            <w:col w:w="1423" w:space="39"/>
            <w:col w:w="6315"/>
          </w:cols>
        </w:sectPr>
      </w:pPr>
    </w:p>
    <w:p w:rsidR="00110C3D" w:rsidRDefault="00FC6933">
      <w:pPr>
        <w:pStyle w:val="BodyText"/>
        <w:spacing w:before="104" w:line="283" w:lineRule="auto"/>
        <w:ind w:left="1180" w:right="1131"/>
      </w:pPr>
      <w:r>
        <w:rPr>
          <w:rFonts w:ascii="Gill Sans MT"/>
          <w:i/>
        </w:rPr>
        <w:t>Note:</w:t>
      </w:r>
      <w:r>
        <w:rPr>
          <w:rFonts w:ascii="Gill Sans MT"/>
          <w:i/>
          <w:spacing w:val="-22"/>
        </w:rPr>
        <w:t xml:space="preserve"> </w:t>
      </w:r>
      <w:r>
        <w:t>This</w:t>
      </w:r>
      <w:r>
        <w:rPr>
          <w:spacing w:val="-13"/>
        </w:rPr>
        <w:t xml:space="preserve"> </w:t>
      </w:r>
      <w:r>
        <w:t>chart</w:t>
      </w:r>
      <w:r>
        <w:rPr>
          <w:spacing w:val="-13"/>
        </w:rPr>
        <w:t xml:space="preserve"> </w:t>
      </w:r>
      <w:r>
        <w:t>does</w:t>
      </w:r>
      <w:r>
        <w:rPr>
          <w:spacing w:val="-13"/>
        </w:rPr>
        <w:t xml:space="preserve"> </w:t>
      </w:r>
      <w:r>
        <w:t>not</w:t>
      </w:r>
      <w:r>
        <w:rPr>
          <w:spacing w:val="-13"/>
        </w:rPr>
        <w:t xml:space="preserve"> </w:t>
      </w:r>
      <w:r>
        <w:t>show</w:t>
      </w:r>
      <w:r>
        <w:rPr>
          <w:spacing w:val="-13"/>
        </w:rPr>
        <w:t xml:space="preserve"> </w:t>
      </w:r>
      <w:r>
        <w:t>our</w:t>
      </w:r>
      <w:r>
        <w:rPr>
          <w:spacing w:val="-13"/>
        </w:rPr>
        <w:t xml:space="preserve"> </w:t>
      </w:r>
      <w:r>
        <w:t>estimates</w:t>
      </w:r>
      <w:r>
        <w:rPr>
          <w:spacing w:val="-13"/>
        </w:rPr>
        <w:t xml:space="preserve"> </w:t>
      </w:r>
      <w:r>
        <w:t>of</w:t>
      </w:r>
      <w:r>
        <w:rPr>
          <w:spacing w:val="-13"/>
        </w:rPr>
        <w:t xml:space="preserve"> </w:t>
      </w:r>
      <w:r>
        <w:t>the</w:t>
      </w:r>
      <w:r>
        <w:rPr>
          <w:spacing w:val="-13"/>
        </w:rPr>
        <w:t xml:space="preserve"> </w:t>
      </w:r>
      <w:r>
        <w:t>monetary</w:t>
      </w:r>
      <w:r>
        <w:rPr>
          <w:spacing w:val="-13"/>
        </w:rPr>
        <w:t xml:space="preserve"> </w:t>
      </w:r>
      <w:r>
        <w:t>value</w:t>
      </w:r>
      <w:r>
        <w:rPr>
          <w:spacing w:val="-13"/>
        </w:rPr>
        <w:t xml:space="preserve"> </w:t>
      </w:r>
      <w:r>
        <w:t>of</w:t>
      </w:r>
      <w:r>
        <w:rPr>
          <w:spacing w:val="-13"/>
        </w:rPr>
        <w:t xml:space="preserve"> </w:t>
      </w:r>
      <w:r>
        <w:t>lost</w:t>
      </w:r>
      <w:r>
        <w:rPr>
          <w:spacing w:val="-13"/>
        </w:rPr>
        <w:t xml:space="preserve"> </w:t>
      </w:r>
      <w:r>
        <w:t>quality-of-life</w:t>
      </w:r>
      <w:r>
        <w:rPr>
          <w:spacing w:val="-13"/>
        </w:rPr>
        <w:t xml:space="preserve"> </w:t>
      </w:r>
      <w:r>
        <w:t>because</w:t>
      </w:r>
      <w:r>
        <w:rPr>
          <w:spacing w:val="-13"/>
        </w:rPr>
        <w:t xml:space="preserve"> </w:t>
      </w:r>
      <w:r>
        <w:t>these</w:t>
      </w:r>
      <w:r>
        <w:rPr>
          <w:spacing w:val="-13"/>
        </w:rPr>
        <w:t xml:space="preserve"> </w:t>
      </w:r>
      <w:r>
        <w:t>estimates should</w:t>
      </w:r>
      <w:r>
        <w:rPr>
          <w:spacing w:val="-4"/>
        </w:rPr>
        <w:t xml:space="preserve"> </w:t>
      </w:r>
      <w:r>
        <w:t>not</w:t>
      </w:r>
      <w:r>
        <w:rPr>
          <w:spacing w:val="-4"/>
        </w:rPr>
        <w:t xml:space="preserve"> </w:t>
      </w:r>
      <w:proofErr w:type="spellStart"/>
      <w:r>
        <w:t>ba</w:t>
      </w:r>
      <w:proofErr w:type="spellEnd"/>
      <w:r>
        <w:rPr>
          <w:spacing w:val="-4"/>
        </w:rPr>
        <w:t xml:space="preserve"> </w:t>
      </w:r>
      <w:r>
        <w:t>added</w:t>
      </w:r>
      <w:r>
        <w:rPr>
          <w:spacing w:val="-4"/>
        </w:rPr>
        <w:t xml:space="preserve"> </w:t>
      </w:r>
      <w:r>
        <w:t>to</w:t>
      </w:r>
      <w:r>
        <w:rPr>
          <w:spacing w:val="-4"/>
        </w:rPr>
        <w:t xml:space="preserve"> </w:t>
      </w:r>
      <w:r>
        <w:t>estimates</w:t>
      </w:r>
      <w:r>
        <w:rPr>
          <w:spacing w:val="-4"/>
        </w:rPr>
        <w:t xml:space="preserve"> </w:t>
      </w:r>
      <w:r>
        <w:t>of</w:t>
      </w:r>
      <w:r>
        <w:rPr>
          <w:spacing w:val="-4"/>
        </w:rPr>
        <w:t xml:space="preserve"> </w:t>
      </w:r>
      <w:r>
        <w:t>the</w:t>
      </w:r>
      <w:r>
        <w:rPr>
          <w:spacing w:val="-4"/>
        </w:rPr>
        <w:t xml:space="preserve"> </w:t>
      </w:r>
      <w:r>
        <w:t>value</w:t>
      </w:r>
      <w:r>
        <w:rPr>
          <w:spacing w:val="-4"/>
        </w:rPr>
        <w:t xml:space="preserve"> </w:t>
      </w:r>
      <w:r>
        <w:t>of</w:t>
      </w:r>
      <w:r>
        <w:rPr>
          <w:spacing w:val="-4"/>
        </w:rPr>
        <w:t xml:space="preserve"> </w:t>
      </w:r>
      <w:r>
        <w:t>lost</w:t>
      </w:r>
      <w:r>
        <w:rPr>
          <w:spacing w:val="-4"/>
        </w:rPr>
        <w:t xml:space="preserve"> </w:t>
      </w:r>
      <w:r>
        <w:t>productivity.</w:t>
      </w:r>
      <w:r>
        <w:rPr>
          <w:spacing w:val="-4"/>
        </w:rPr>
        <w:t xml:space="preserve"> </w:t>
      </w:r>
      <w:r>
        <w:t>Source:</w:t>
      </w:r>
      <w:r>
        <w:rPr>
          <w:spacing w:val="-4"/>
        </w:rPr>
        <w:t xml:space="preserve"> </w:t>
      </w:r>
      <w:r>
        <w:t>CIE.</w:t>
      </w:r>
    </w:p>
    <w:p w:rsidR="00110C3D" w:rsidRDefault="00110C3D">
      <w:pPr>
        <w:pStyle w:val="BodyText"/>
        <w:spacing w:before="10"/>
        <w:rPr>
          <w:sz w:val="14"/>
        </w:rPr>
      </w:pPr>
    </w:p>
    <w:p w:rsidR="00110C3D" w:rsidRDefault="00110C3D">
      <w:pPr>
        <w:rPr>
          <w:sz w:val="14"/>
        </w:rPr>
        <w:sectPr w:rsidR="00110C3D">
          <w:type w:val="continuous"/>
          <w:pgSz w:w="11910" w:h="16840"/>
          <w:pgMar w:top="1580" w:right="520" w:bottom="280" w:left="520" w:header="720" w:footer="720" w:gutter="0"/>
          <w:cols w:space="720"/>
        </w:sectPr>
      </w:pPr>
    </w:p>
    <w:p w:rsidR="00110C3D" w:rsidRDefault="00FC6933">
      <w:pPr>
        <w:spacing w:before="98" w:line="252" w:lineRule="auto"/>
        <w:ind w:left="1180" w:hanging="1"/>
        <w:rPr>
          <w:sz w:val="14"/>
        </w:rPr>
      </w:pPr>
      <w:r>
        <w:pict>
          <v:rect id="_x0000_s1026" style="position:absolute;left:0;text-align:left;margin-left:0;margin-top:136.05pt;width:595.3pt;height:7.4pt;z-index:-8992;mso-position-horizontal-relative:page;mso-position-vertical-relative:page" fillcolor="black" stroked="f">
            <v:fill opacity=".75"/>
            <w10:wrap anchorx="page" anchory="page"/>
          </v:rect>
        </w:pict>
      </w:r>
      <w:proofErr w:type="gramStart"/>
      <w:r>
        <w:rPr>
          <w:position w:val="5"/>
          <w:sz w:val="8"/>
        </w:rPr>
        <w:t>1</w:t>
      </w:r>
      <w:proofErr w:type="gramEnd"/>
      <w:r>
        <w:rPr>
          <w:spacing w:val="-2"/>
          <w:position w:val="5"/>
          <w:sz w:val="8"/>
        </w:rPr>
        <w:t xml:space="preserve"> </w:t>
      </w:r>
      <w:r>
        <w:rPr>
          <w:sz w:val="14"/>
        </w:rPr>
        <w:t>CIE</w:t>
      </w:r>
      <w:r>
        <w:rPr>
          <w:spacing w:val="-3"/>
          <w:sz w:val="14"/>
        </w:rPr>
        <w:t xml:space="preserve"> </w:t>
      </w:r>
      <w:r>
        <w:rPr>
          <w:sz w:val="14"/>
        </w:rPr>
        <w:t>analysis</w:t>
      </w:r>
      <w:r>
        <w:rPr>
          <w:spacing w:val="-3"/>
          <w:sz w:val="14"/>
        </w:rPr>
        <w:t xml:space="preserve"> </w:t>
      </w:r>
      <w:r>
        <w:rPr>
          <w:sz w:val="14"/>
        </w:rPr>
        <w:t>using</w:t>
      </w:r>
      <w:r>
        <w:rPr>
          <w:spacing w:val="-3"/>
          <w:sz w:val="14"/>
        </w:rPr>
        <w:t xml:space="preserve"> </w:t>
      </w:r>
      <w:r>
        <w:rPr>
          <w:sz w:val="14"/>
        </w:rPr>
        <w:t>GBD</w:t>
      </w:r>
      <w:r>
        <w:rPr>
          <w:spacing w:val="-3"/>
          <w:sz w:val="14"/>
        </w:rPr>
        <w:t xml:space="preserve"> </w:t>
      </w:r>
      <w:r>
        <w:rPr>
          <w:sz w:val="14"/>
        </w:rPr>
        <w:t>data.</w:t>
      </w:r>
      <w:r>
        <w:rPr>
          <w:spacing w:val="-3"/>
          <w:sz w:val="14"/>
        </w:rPr>
        <w:t xml:space="preserve"> </w:t>
      </w:r>
      <w:r>
        <w:rPr>
          <w:sz w:val="14"/>
        </w:rPr>
        <w:t>See</w:t>
      </w:r>
      <w:r>
        <w:rPr>
          <w:spacing w:val="-3"/>
          <w:sz w:val="14"/>
        </w:rPr>
        <w:t xml:space="preserve"> </w:t>
      </w:r>
      <w:r>
        <w:rPr>
          <w:sz w:val="14"/>
        </w:rPr>
        <w:t>Appendix</w:t>
      </w:r>
      <w:r>
        <w:rPr>
          <w:spacing w:val="-3"/>
          <w:sz w:val="14"/>
        </w:rPr>
        <w:t xml:space="preserve"> </w:t>
      </w:r>
      <w:r>
        <w:rPr>
          <w:sz w:val="14"/>
        </w:rPr>
        <w:t>A</w:t>
      </w:r>
      <w:r>
        <w:rPr>
          <w:spacing w:val="-3"/>
          <w:sz w:val="14"/>
        </w:rPr>
        <w:t xml:space="preserve"> </w:t>
      </w:r>
      <w:r>
        <w:rPr>
          <w:sz w:val="14"/>
        </w:rPr>
        <w:t>for</w:t>
      </w:r>
      <w:r>
        <w:rPr>
          <w:spacing w:val="-3"/>
          <w:sz w:val="14"/>
        </w:rPr>
        <w:t xml:space="preserve"> </w:t>
      </w:r>
      <w:r>
        <w:rPr>
          <w:sz w:val="14"/>
        </w:rPr>
        <w:t>an</w:t>
      </w:r>
      <w:r>
        <w:rPr>
          <w:spacing w:val="-3"/>
          <w:sz w:val="14"/>
        </w:rPr>
        <w:t xml:space="preserve"> </w:t>
      </w:r>
      <w:r>
        <w:rPr>
          <w:sz w:val="14"/>
        </w:rPr>
        <w:t>explanation</w:t>
      </w:r>
      <w:r>
        <w:rPr>
          <w:spacing w:val="-3"/>
          <w:sz w:val="14"/>
        </w:rPr>
        <w:t xml:space="preserve"> </w:t>
      </w:r>
      <w:r>
        <w:rPr>
          <w:sz w:val="14"/>
        </w:rPr>
        <w:t>of</w:t>
      </w:r>
      <w:r>
        <w:rPr>
          <w:spacing w:val="-3"/>
          <w:sz w:val="14"/>
        </w:rPr>
        <w:t xml:space="preserve"> </w:t>
      </w:r>
      <w:r>
        <w:rPr>
          <w:sz w:val="14"/>
        </w:rPr>
        <w:t>the methodology for estimating the number of deaths due to lung cancer associated with asbestos exposure and mesothelioma based on data from the Global Burden of Disease Study: Institute for Health Metrics and Evaluation (IHME). GBD Compare Data Visualizat</w:t>
      </w:r>
      <w:r>
        <w:rPr>
          <w:sz w:val="14"/>
        </w:rPr>
        <w:t xml:space="preserve">ion. Seattle, WA: IHME, University of Washington, </w:t>
      </w:r>
      <w:r>
        <w:rPr>
          <w:spacing w:val="-3"/>
          <w:sz w:val="14"/>
        </w:rPr>
        <w:t xml:space="preserve">2016. </w:t>
      </w:r>
      <w:r>
        <w:rPr>
          <w:sz w:val="14"/>
        </w:rPr>
        <w:t xml:space="preserve">Available from </w:t>
      </w:r>
      <w:hyperlink r:id="rId15">
        <w:r>
          <w:rPr>
            <w:sz w:val="14"/>
          </w:rPr>
          <w:t>http://vizhub.</w:t>
        </w:r>
      </w:hyperlink>
      <w:r>
        <w:rPr>
          <w:sz w:val="14"/>
        </w:rPr>
        <w:t xml:space="preserve"> </w:t>
      </w:r>
      <w:proofErr w:type="gramStart"/>
      <w:r>
        <w:rPr>
          <w:sz w:val="14"/>
        </w:rPr>
        <w:t>healthdata.org/</w:t>
      </w:r>
      <w:proofErr w:type="spellStart"/>
      <w:r>
        <w:rPr>
          <w:sz w:val="14"/>
        </w:rPr>
        <w:t>gbd</w:t>
      </w:r>
      <w:proofErr w:type="spellEnd"/>
      <w:r>
        <w:rPr>
          <w:sz w:val="14"/>
        </w:rPr>
        <w:t>-compare</w:t>
      </w:r>
      <w:proofErr w:type="gramEnd"/>
      <w:r>
        <w:rPr>
          <w:sz w:val="14"/>
        </w:rPr>
        <w:t>.</w:t>
      </w:r>
    </w:p>
    <w:p w:rsidR="00110C3D" w:rsidRDefault="00FC6933">
      <w:pPr>
        <w:spacing w:before="98" w:line="252" w:lineRule="auto"/>
        <w:ind w:left="435" w:right="1209" w:hanging="1"/>
        <w:rPr>
          <w:sz w:val="14"/>
        </w:rPr>
      </w:pPr>
      <w:r>
        <w:br w:type="column"/>
      </w:r>
      <w:r>
        <w:rPr>
          <w:position w:val="5"/>
          <w:sz w:val="8"/>
        </w:rPr>
        <w:t xml:space="preserve">2 </w:t>
      </w:r>
      <w:r>
        <w:rPr>
          <w:sz w:val="14"/>
        </w:rPr>
        <w:t xml:space="preserve">The ratio of asbestos-related lung cancer deaths to mesothelioma deaths </w:t>
      </w:r>
      <w:proofErr w:type="gramStart"/>
      <w:r>
        <w:rPr>
          <w:sz w:val="14"/>
        </w:rPr>
        <w:t>has been estimated</w:t>
      </w:r>
      <w:proofErr w:type="gramEnd"/>
      <w:r>
        <w:rPr>
          <w:sz w:val="14"/>
        </w:rPr>
        <w:t xml:space="preserve"> using a combin</w:t>
      </w:r>
      <w:r>
        <w:rPr>
          <w:sz w:val="14"/>
        </w:rPr>
        <w:t xml:space="preserve">ation of GBD data and CIE analysis. There is some uncertainty around this figure in the literature. Studies such as McCormack, et al. (2012) finding variation in this ratio among asbestos exposure cohorts and highlighting the difficulty of quantifying the </w:t>
      </w:r>
      <w:r>
        <w:rPr>
          <w:sz w:val="14"/>
        </w:rPr>
        <w:t>asbestos-related lung cancer burden in the presence of this disease’s multiple causes.</w:t>
      </w:r>
    </w:p>
    <w:p w:rsidR="00110C3D" w:rsidRDefault="00110C3D">
      <w:pPr>
        <w:spacing w:line="252" w:lineRule="auto"/>
        <w:rPr>
          <w:sz w:val="14"/>
        </w:rPr>
        <w:sectPr w:rsidR="00110C3D">
          <w:type w:val="continuous"/>
          <w:pgSz w:w="11910" w:h="16840"/>
          <w:pgMar w:top="1580" w:right="520" w:bottom="280" w:left="520" w:header="720" w:footer="720" w:gutter="0"/>
          <w:cols w:num="2" w:space="720" w:equalWidth="0">
            <w:col w:w="5185" w:space="40"/>
            <w:col w:w="5645"/>
          </w:cols>
        </w:sectPr>
      </w:pPr>
    </w:p>
    <w:p w:rsidR="00110C3D" w:rsidRDefault="00FC6933">
      <w:pPr>
        <w:pStyle w:val="Heading1"/>
      </w:pPr>
      <w:r>
        <w:rPr>
          <w:w w:val="90"/>
        </w:rPr>
        <w:lastRenderedPageBreak/>
        <w:t>Direct health system costs</w:t>
      </w:r>
    </w:p>
    <w:p w:rsidR="00110C3D" w:rsidRDefault="00FC6933">
      <w:pPr>
        <w:pStyle w:val="BodyText"/>
        <w:spacing w:before="159" w:line="283" w:lineRule="auto"/>
        <w:ind w:left="1180"/>
      </w:pPr>
      <w:r>
        <w:t>Hospital and primary healthcare costs associated treating</w:t>
      </w:r>
      <w:r>
        <w:rPr>
          <w:spacing w:val="-11"/>
        </w:rPr>
        <w:t xml:space="preserve"> </w:t>
      </w:r>
      <w:r>
        <w:t>ARDs</w:t>
      </w:r>
      <w:r>
        <w:rPr>
          <w:spacing w:val="-11"/>
        </w:rPr>
        <w:t xml:space="preserve"> </w:t>
      </w:r>
      <w:proofErr w:type="gramStart"/>
      <w:r>
        <w:t>are</w:t>
      </w:r>
      <w:r>
        <w:rPr>
          <w:spacing w:val="-11"/>
        </w:rPr>
        <w:t xml:space="preserve"> </w:t>
      </w:r>
      <w:r>
        <w:t>estimated</w:t>
      </w:r>
      <w:proofErr w:type="gramEnd"/>
      <w:r>
        <w:rPr>
          <w:spacing w:val="-11"/>
        </w:rPr>
        <w:t xml:space="preserve"> </w:t>
      </w:r>
      <w:r>
        <w:t>at</w:t>
      </w:r>
      <w:r>
        <w:rPr>
          <w:spacing w:val="-11"/>
        </w:rPr>
        <w:t xml:space="preserve"> </w:t>
      </w:r>
      <w:r>
        <w:rPr>
          <w:spacing w:val="-6"/>
        </w:rPr>
        <w:t>$192</w:t>
      </w:r>
      <w:r>
        <w:rPr>
          <w:spacing w:val="-10"/>
        </w:rPr>
        <w:t xml:space="preserve"> </w:t>
      </w:r>
      <w:r>
        <w:t>million</w:t>
      </w:r>
      <w:r>
        <w:rPr>
          <w:spacing w:val="-10"/>
        </w:rPr>
        <w:t xml:space="preserve"> </w:t>
      </w:r>
      <w:r>
        <w:t>for</w:t>
      </w:r>
      <w:r>
        <w:rPr>
          <w:spacing w:val="-11"/>
        </w:rPr>
        <w:t xml:space="preserve"> </w:t>
      </w:r>
      <w:r>
        <w:rPr>
          <w:spacing w:val="-6"/>
        </w:rPr>
        <w:t xml:space="preserve">2015. </w:t>
      </w:r>
      <w:r>
        <w:t xml:space="preserve">The largest </w:t>
      </w:r>
      <w:r>
        <w:t xml:space="preserve">expenditure item is costs for patients admitted to hospital, costing </w:t>
      </w:r>
      <w:r>
        <w:rPr>
          <w:spacing w:val="-3"/>
        </w:rPr>
        <w:t xml:space="preserve">$53.7 </w:t>
      </w:r>
      <w:r>
        <w:t xml:space="preserve">million in </w:t>
      </w:r>
      <w:r>
        <w:rPr>
          <w:spacing w:val="-5"/>
        </w:rPr>
        <w:t>2015.</w:t>
      </w:r>
      <w:r>
        <w:rPr>
          <w:spacing w:val="-5"/>
          <w:position w:val="6"/>
          <w:sz w:val="10"/>
        </w:rPr>
        <w:t xml:space="preserve">3 </w:t>
      </w:r>
      <w:r>
        <w:t>Average</w:t>
      </w:r>
      <w:r>
        <w:rPr>
          <w:spacing w:val="-14"/>
        </w:rPr>
        <w:t xml:space="preserve"> </w:t>
      </w:r>
      <w:r>
        <w:t>costs</w:t>
      </w:r>
      <w:r>
        <w:rPr>
          <w:spacing w:val="-14"/>
        </w:rPr>
        <w:t xml:space="preserve"> </w:t>
      </w:r>
      <w:r>
        <w:t>per</w:t>
      </w:r>
      <w:r>
        <w:rPr>
          <w:spacing w:val="-14"/>
        </w:rPr>
        <w:t xml:space="preserve"> </w:t>
      </w:r>
      <w:r>
        <w:t>separation</w:t>
      </w:r>
      <w:r>
        <w:rPr>
          <w:spacing w:val="-14"/>
        </w:rPr>
        <w:t xml:space="preserve"> </w:t>
      </w:r>
      <w:r>
        <w:t>are</w:t>
      </w:r>
      <w:r>
        <w:rPr>
          <w:spacing w:val="-14"/>
        </w:rPr>
        <w:t xml:space="preserve"> </w:t>
      </w:r>
      <w:r>
        <w:t>highest</w:t>
      </w:r>
      <w:r>
        <w:rPr>
          <w:spacing w:val="-14"/>
        </w:rPr>
        <w:t xml:space="preserve"> </w:t>
      </w:r>
      <w:r>
        <w:t>for</w:t>
      </w:r>
      <w:r>
        <w:rPr>
          <w:spacing w:val="-14"/>
        </w:rPr>
        <w:t xml:space="preserve"> </w:t>
      </w:r>
      <w:r>
        <w:t>patients with</w:t>
      </w:r>
      <w:r>
        <w:rPr>
          <w:spacing w:val="-16"/>
        </w:rPr>
        <w:t xml:space="preserve"> </w:t>
      </w:r>
      <w:r>
        <w:t>asbestosis</w:t>
      </w:r>
      <w:r>
        <w:rPr>
          <w:spacing w:val="-16"/>
        </w:rPr>
        <w:t xml:space="preserve"> </w:t>
      </w:r>
      <w:r>
        <w:rPr>
          <w:spacing w:val="-5"/>
        </w:rPr>
        <w:t>($20</w:t>
      </w:r>
      <w:r>
        <w:rPr>
          <w:spacing w:val="-16"/>
        </w:rPr>
        <w:t xml:space="preserve"> </w:t>
      </w:r>
      <w:r>
        <w:rPr>
          <w:spacing w:val="-3"/>
        </w:rPr>
        <w:t>562)</w:t>
      </w:r>
      <w:r>
        <w:rPr>
          <w:spacing w:val="-16"/>
        </w:rPr>
        <w:t xml:space="preserve"> </w:t>
      </w:r>
      <w:r>
        <w:t>and</w:t>
      </w:r>
      <w:r>
        <w:rPr>
          <w:spacing w:val="-16"/>
        </w:rPr>
        <w:t xml:space="preserve"> </w:t>
      </w:r>
      <w:r>
        <w:t>lowest</w:t>
      </w:r>
      <w:r>
        <w:rPr>
          <w:spacing w:val="-16"/>
        </w:rPr>
        <w:t xml:space="preserve"> </w:t>
      </w:r>
      <w:r>
        <w:t>for</w:t>
      </w:r>
      <w:r>
        <w:rPr>
          <w:spacing w:val="-16"/>
        </w:rPr>
        <w:t xml:space="preserve"> </w:t>
      </w:r>
      <w:r>
        <w:t>patients</w:t>
      </w:r>
      <w:r>
        <w:rPr>
          <w:spacing w:val="-16"/>
        </w:rPr>
        <w:t xml:space="preserve"> </w:t>
      </w:r>
      <w:r>
        <w:t xml:space="preserve">with mesothelioma </w:t>
      </w:r>
      <w:r>
        <w:rPr>
          <w:spacing w:val="-3"/>
        </w:rPr>
        <w:t xml:space="preserve">($4 </w:t>
      </w:r>
      <w:r>
        <w:rPr>
          <w:spacing w:val="-4"/>
        </w:rPr>
        <w:t xml:space="preserve">893). </w:t>
      </w:r>
      <w:r>
        <w:t>Outpatient costs are also sizeable,</w:t>
      </w:r>
      <w:r>
        <w:rPr>
          <w:spacing w:val="-16"/>
        </w:rPr>
        <w:t xml:space="preserve"> </w:t>
      </w:r>
      <w:r>
        <w:t>valued</w:t>
      </w:r>
      <w:r>
        <w:rPr>
          <w:spacing w:val="-16"/>
        </w:rPr>
        <w:t xml:space="preserve"> </w:t>
      </w:r>
      <w:r>
        <w:t>at</w:t>
      </w:r>
      <w:r>
        <w:rPr>
          <w:spacing w:val="-16"/>
        </w:rPr>
        <w:t xml:space="preserve"> </w:t>
      </w:r>
      <w:r>
        <w:rPr>
          <w:spacing w:val="-4"/>
        </w:rPr>
        <w:t>$9.5</w:t>
      </w:r>
      <w:r>
        <w:rPr>
          <w:spacing w:val="-16"/>
        </w:rPr>
        <w:t xml:space="preserve"> </w:t>
      </w:r>
      <w:r>
        <w:t>million,</w:t>
      </w:r>
      <w:r>
        <w:rPr>
          <w:spacing w:val="-16"/>
        </w:rPr>
        <w:t xml:space="preserve"> </w:t>
      </w:r>
      <w:r>
        <w:t>mostly</w:t>
      </w:r>
      <w:r>
        <w:rPr>
          <w:spacing w:val="-16"/>
        </w:rPr>
        <w:t xml:space="preserve"> </w:t>
      </w:r>
      <w:r>
        <w:t>relating</w:t>
      </w:r>
      <w:r>
        <w:rPr>
          <w:spacing w:val="-16"/>
        </w:rPr>
        <w:t xml:space="preserve"> </w:t>
      </w:r>
      <w:r>
        <w:t>to</w:t>
      </w:r>
      <w:r>
        <w:rPr>
          <w:spacing w:val="-16"/>
        </w:rPr>
        <w:t xml:space="preserve"> </w:t>
      </w:r>
      <w:r>
        <w:t>the treatment of lung cancer (73 per</w:t>
      </w:r>
      <w:r>
        <w:rPr>
          <w:spacing w:val="-28"/>
        </w:rPr>
        <w:t xml:space="preserve"> </w:t>
      </w:r>
      <w:r>
        <w:rPr>
          <w:spacing w:val="-2"/>
        </w:rPr>
        <w:t>cent).</w:t>
      </w:r>
    </w:p>
    <w:p w:rsidR="00110C3D" w:rsidRDefault="00FC6933">
      <w:pPr>
        <w:pStyle w:val="BodyText"/>
        <w:spacing w:before="136" w:line="283" w:lineRule="auto"/>
        <w:ind w:left="1180"/>
      </w:pPr>
      <w:r>
        <w:t>In the community, costs associated with General Practitioner</w:t>
      </w:r>
      <w:r>
        <w:rPr>
          <w:spacing w:val="-21"/>
        </w:rPr>
        <w:t xml:space="preserve"> </w:t>
      </w:r>
      <w:r>
        <w:rPr>
          <w:spacing w:val="-3"/>
        </w:rPr>
        <w:t>(GP)</w:t>
      </w:r>
      <w:r>
        <w:rPr>
          <w:spacing w:val="-21"/>
        </w:rPr>
        <w:t xml:space="preserve"> </w:t>
      </w:r>
      <w:r>
        <w:t>consultations</w:t>
      </w:r>
      <w:r>
        <w:rPr>
          <w:spacing w:val="-21"/>
        </w:rPr>
        <w:t xml:space="preserve"> </w:t>
      </w:r>
      <w:proofErr w:type="gramStart"/>
      <w:r>
        <w:t>are</w:t>
      </w:r>
      <w:r>
        <w:rPr>
          <w:spacing w:val="-21"/>
        </w:rPr>
        <w:t xml:space="preserve"> </w:t>
      </w:r>
      <w:r>
        <w:t>estimated</w:t>
      </w:r>
      <w:proofErr w:type="gramEnd"/>
      <w:r>
        <w:rPr>
          <w:spacing w:val="-21"/>
        </w:rPr>
        <w:t xml:space="preserve"> </w:t>
      </w:r>
      <w:r>
        <w:t>to</w:t>
      </w:r>
      <w:r>
        <w:rPr>
          <w:spacing w:val="-21"/>
        </w:rPr>
        <w:t xml:space="preserve"> </w:t>
      </w:r>
      <w:r>
        <w:t>be</w:t>
      </w:r>
    </w:p>
    <w:p w:rsidR="00110C3D" w:rsidRDefault="00FC6933">
      <w:pPr>
        <w:pStyle w:val="BodyText"/>
        <w:spacing w:before="2" w:line="283" w:lineRule="auto"/>
        <w:ind w:left="1180" w:right="285"/>
        <w:jc w:val="both"/>
      </w:pPr>
      <w:r>
        <w:rPr>
          <w:spacing w:val="-6"/>
        </w:rPr>
        <w:t>$21.5</w:t>
      </w:r>
      <w:r>
        <w:rPr>
          <w:spacing w:val="-12"/>
        </w:rPr>
        <w:t xml:space="preserve"> </w:t>
      </w:r>
      <w:proofErr w:type="gramStart"/>
      <w:r>
        <w:t>million,</w:t>
      </w:r>
      <w:proofErr w:type="gramEnd"/>
      <w:r>
        <w:rPr>
          <w:spacing w:val="-12"/>
        </w:rPr>
        <w:t xml:space="preserve"> </w:t>
      </w:r>
      <w:r>
        <w:t>and</w:t>
      </w:r>
      <w:r>
        <w:rPr>
          <w:spacing w:val="-12"/>
        </w:rPr>
        <w:t xml:space="preserve"> </w:t>
      </w:r>
      <w:r>
        <w:t>spending</w:t>
      </w:r>
      <w:r>
        <w:rPr>
          <w:spacing w:val="-12"/>
        </w:rPr>
        <w:t xml:space="preserve"> </w:t>
      </w:r>
      <w:r>
        <w:t>on</w:t>
      </w:r>
      <w:r>
        <w:rPr>
          <w:spacing w:val="-12"/>
        </w:rPr>
        <w:t xml:space="preserve"> </w:t>
      </w:r>
      <w:r>
        <w:t>sp</w:t>
      </w:r>
      <w:r>
        <w:t>ecialists</w:t>
      </w:r>
      <w:r>
        <w:rPr>
          <w:spacing w:val="-12"/>
        </w:rPr>
        <w:t xml:space="preserve"> </w:t>
      </w:r>
      <w:r>
        <w:t>and</w:t>
      </w:r>
      <w:r>
        <w:rPr>
          <w:spacing w:val="-12"/>
        </w:rPr>
        <w:t xml:space="preserve"> </w:t>
      </w:r>
      <w:r>
        <w:t>other health</w:t>
      </w:r>
      <w:r>
        <w:rPr>
          <w:spacing w:val="-17"/>
        </w:rPr>
        <w:t xml:space="preserve"> </w:t>
      </w:r>
      <w:r>
        <w:t>practitioners</w:t>
      </w:r>
      <w:r>
        <w:rPr>
          <w:spacing w:val="-17"/>
        </w:rPr>
        <w:t xml:space="preserve"> </w:t>
      </w:r>
      <w:r>
        <w:t>is</w:t>
      </w:r>
      <w:r>
        <w:rPr>
          <w:spacing w:val="-17"/>
        </w:rPr>
        <w:t xml:space="preserve"> </w:t>
      </w:r>
      <w:r>
        <w:t>valued</w:t>
      </w:r>
      <w:r>
        <w:rPr>
          <w:spacing w:val="-17"/>
        </w:rPr>
        <w:t xml:space="preserve"> </w:t>
      </w:r>
      <w:r>
        <w:t>at</w:t>
      </w:r>
      <w:r>
        <w:rPr>
          <w:spacing w:val="-17"/>
        </w:rPr>
        <w:t xml:space="preserve"> </w:t>
      </w:r>
      <w:r>
        <w:t>$48.4</w:t>
      </w:r>
      <w:r>
        <w:rPr>
          <w:spacing w:val="-17"/>
        </w:rPr>
        <w:t xml:space="preserve"> </w:t>
      </w:r>
      <w:r>
        <w:t>million,</w:t>
      </w:r>
      <w:r>
        <w:rPr>
          <w:spacing w:val="-17"/>
        </w:rPr>
        <w:t xml:space="preserve"> </w:t>
      </w:r>
      <w:r>
        <w:t>again predominantly</w:t>
      </w:r>
      <w:r>
        <w:rPr>
          <w:spacing w:val="-14"/>
        </w:rPr>
        <w:t xml:space="preserve"> </w:t>
      </w:r>
      <w:r>
        <w:t>associated</w:t>
      </w:r>
      <w:r>
        <w:rPr>
          <w:spacing w:val="-14"/>
        </w:rPr>
        <w:t xml:space="preserve"> </w:t>
      </w:r>
      <w:r>
        <w:t>with</w:t>
      </w:r>
      <w:r>
        <w:rPr>
          <w:spacing w:val="-14"/>
        </w:rPr>
        <w:t xml:space="preserve"> </w:t>
      </w:r>
      <w:r>
        <w:t>care</w:t>
      </w:r>
      <w:r>
        <w:rPr>
          <w:spacing w:val="-14"/>
        </w:rPr>
        <w:t xml:space="preserve"> </w:t>
      </w:r>
      <w:r>
        <w:t>for</w:t>
      </w:r>
      <w:r>
        <w:rPr>
          <w:spacing w:val="-14"/>
        </w:rPr>
        <w:t xml:space="preserve"> </w:t>
      </w:r>
      <w:r>
        <w:t>lung</w:t>
      </w:r>
      <w:r>
        <w:rPr>
          <w:spacing w:val="-14"/>
        </w:rPr>
        <w:t xml:space="preserve"> </w:t>
      </w:r>
      <w:r>
        <w:t>cancer patients.</w:t>
      </w:r>
    </w:p>
    <w:p w:rsidR="00110C3D" w:rsidRDefault="00FC6933">
      <w:pPr>
        <w:pStyle w:val="BodyText"/>
        <w:spacing w:before="132" w:line="283" w:lineRule="auto"/>
        <w:ind w:left="1180"/>
      </w:pPr>
      <w:r>
        <w:t xml:space="preserve">Spending on pharmaceuticals is estimated at </w:t>
      </w:r>
      <w:r>
        <w:rPr>
          <w:spacing w:val="-4"/>
        </w:rPr>
        <w:t xml:space="preserve">$59.0 </w:t>
      </w:r>
      <w:r>
        <w:t>million, 83 per cent of which is due to Australian Government subsidies offered through the Pharmaceutical Benefits Scheme (PBS)</w:t>
      </w:r>
      <w:proofErr w:type="gramStart"/>
      <w:r>
        <w:t>,</w:t>
      </w:r>
      <w:r>
        <w:rPr>
          <w:position w:val="6"/>
          <w:sz w:val="10"/>
        </w:rPr>
        <w:t>4</w:t>
      </w:r>
      <w:proofErr w:type="gramEnd"/>
      <w:r>
        <w:rPr>
          <w:position w:val="6"/>
          <w:sz w:val="10"/>
        </w:rPr>
        <w:t xml:space="preserve"> </w:t>
      </w:r>
      <w:r>
        <w:t>with the remainder</w:t>
      </w:r>
      <w:r>
        <w:rPr>
          <w:spacing w:val="-18"/>
        </w:rPr>
        <w:t xml:space="preserve"> </w:t>
      </w:r>
      <w:r>
        <w:t>incurred</w:t>
      </w:r>
      <w:r>
        <w:rPr>
          <w:spacing w:val="-18"/>
        </w:rPr>
        <w:t xml:space="preserve"> </w:t>
      </w:r>
      <w:r>
        <w:t>by</w:t>
      </w:r>
      <w:r>
        <w:rPr>
          <w:spacing w:val="-18"/>
        </w:rPr>
        <w:t xml:space="preserve"> </w:t>
      </w:r>
      <w:r>
        <w:t>patients</w:t>
      </w:r>
      <w:r>
        <w:rPr>
          <w:spacing w:val="-18"/>
        </w:rPr>
        <w:t xml:space="preserve"> </w:t>
      </w:r>
      <w:r>
        <w:t>in</w:t>
      </w:r>
      <w:r>
        <w:rPr>
          <w:spacing w:val="-18"/>
        </w:rPr>
        <w:t xml:space="preserve"> </w:t>
      </w:r>
      <w:r>
        <w:t>out-of-pocket</w:t>
      </w:r>
      <w:r>
        <w:rPr>
          <w:spacing w:val="-18"/>
        </w:rPr>
        <w:t xml:space="preserve"> </w:t>
      </w:r>
      <w:r>
        <w:t>costs.</w:t>
      </w:r>
    </w:p>
    <w:p w:rsidR="00110C3D" w:rsidRDefault="00FC6933">
      <w:pPr>
        <w:pStyle w:val="Heading1"/>
        <w:spacing w:before="103"/>
        <w:ind w:right="417"/>
      </w:pPr>
      <w:r>
        <w:rPr>
          <w:w w:val="85"/>
        </w:rPr>
        <w:t>Costs</w:t>
      </w:r>
      <w:r>
        <w:rPr>
          <w:spacing w:val="-34"/>
          <w:w w:val="85"/>
        </w:rPr>
        <w:t xml:space="preserve"> </w:t>
      </w:r>
      <w:r>
        <w:rPr>
          <w:w w:val="85"/>
        </w:rPr>
        <w:t>to</w:t>
      </w:r>
      <w:r>
        <w:rPr>
          <w:spacing w:val="-34"/>
          <w:w w:val="85"/>
        </w:rPr>
        <w:t xml:space="preserve"> </w:t>
      </w:r>
      <w:r>
        <w:rPr>
          <w:w w:val="85"/>
        </w:rPr>
        <w:t>the</w:t>
      </w:r>
      <w:r>
        <w:rPr>
          <w:spacing w:val="-34"/>
          <w:w w:val="85"/>
        </w:rPr>
        <w:t xml:space="preserve"> </w:t>
      </w:r>
      <w:r>
        <w:rPr>
          <w:w w:val="85"/>
        </w:rPr>
        <w:t>workforce</w:t>
      </w:r>
      <w:r>
        <w:rPr>
          <w:spacing w:val="-34"/>
          <w:w w:val="85"/>
        </w:rPr>
        <w:t xml:space="preserve"> </w:t>
      </w:r>
      <w:r>
        <w:rPr>
          <w:w w:val="85"/>
        </w:rPr>
        <w:t>and</w:t>
      </w:r>
      <w:r>
        <w:rPr>
          <w:spacing w:val="-34"/>
          <w:w w:val="85"/>
        </w:rPr>
        <w:t xml:space="preserve"> </w:t>
      </w:r>
      <w:r>
        <w:rPr>
          <w:w w:val="85"/>
        </w:rPr>
        <w:t xml:space="preserve">broader </w:t>
      </w:r>
      <w:r>
        <w:rPr>
          <w:w w:val="90"/>
        </w:rPr>
        <w:t>economy</w:t>
      </w:r>
    </w:p>
    <w:p w:rsidR="00110C3D" w:rsidRDefault="00FC6933">
      <w:pPr>
        <w:pStyle w:val="BodyText"/>
        <w:spacing w:before="158" w:line="283" w:lineRule="auto"/>
        <w:ind w:left="1180" w:right="78"/>
      </w:pPr>
      <w:r>
        <w:t>Living with an ARD</w:t>
      </w:r>
      <w:r>
        <w:t xml:space="preserve"> compromises an individual’s ability</w:t>
      </w:r>
      <w:r>
        <w:rPr>
          <w:spacing w:val="-14"/>
        </w:rPr>
        <w:t xml:space="preserve"> </w:t>
      </w:r>
      <w:r>
        <w:t>to</w:t>
      </w:r>
      <w:r>
        <w:rPr>
          <w:spacing w:val="-14"/>
        </w:rPr>
        <w:t xml:space="preserve"> </w:t>
      </w:r>
      <w:r>
        <w:t>participate</w:t>
      </w:r>
      <w:r>
        <w:rPr>
          <w:spacing w:val="-14"/>
        </w:rPr>
        <w:t xml:space="preserve"> </w:t>
      </w:r>
      <w:r>
        <w:t>in</w:t>
      </w:r>
      <w:r>
        <w:rPr>
          <w:spacing w:val="-14"/>
        </w:rPr>
        <w:t xml:space="preserve"> </w:t>
      </w:r>
      <w:r>
        <w:t>the</w:t>
      </w:r>
      <w:r>
        <w:rPr>
          <w:spacing w:val="-14"/>
        </w:rPr>
        <w:t xml:space="preserve"> </w:t>
      </w:r>
      <w:r>
        <w:t>paid</w:t>
      </w:r>
      <w:r>
        <w:rPr>
          <w:spacing w:val="-14"/>
        </w:rPr>
        <w:t xml:space="preserve"> </w:t>
      </w:r>
      <w:r>
        <w:t>and</w:t>
      </w:r>
      <w:r>
        <w:rPr>
          <w:spacing w:val="-14"/>
        </w:rPr>
        <w:t xml:space="preserve"> </w:t>
      </w:r>
      <w:r>
        <w:t>unpaid</w:t>
      </w:r>
      <w:r>
        <w:rPr>
          <w:spacing w:val="-14"/>
        </w:rPr>
        <w:t xml:space="preserve"> </w:t>
      </w:r>
      <w:r>
        <w:t xml:space="preserve">workforce. Productivity losses also flow through to </w:t>
      </w:r>
      <w:proofErr w:type="spellStart"/>
      <w:r>
        <w:t>carers</w:t>
      </w:r>
      <w:proofErr w:type="spellEnd"/>
      <w:r>
        <w:t xml:space="preserve"> who are no longer able to participate in work and the community as they otherwise</w:t>
      </w:r>
      <w:r>
        <w:rPr>
          <w:spacing w:val="-13"/>
        </w:rPr>
        <w:t xml:space="preserve"> </w:t>
      </w:r>
      <w:r>
        <w:t>would.</w:t>
      </w:r>
    </w:p>
    <w:p w:rsidR="00110C3D" w:rsidRDefault="00FC6933">
      <w:pPr>
        <w:pStyle w:val="BodyText"/>
        <w:spacing w:before="133" w:line="283" w:lineRule="auto"/>
        <w:ind w:left="1180" w:right="121" w:hanging="1"/>
      </w:pPr>
      <w:r>
        <w:t xml:space="preserve">These indirect effects </w:t>
      </w:r>
      <w:proofErr w:type="gramStart"/>
      <w:r>
        <w:t>are estima</w:t>
      </w:r>
      <w:r>
        <w:t>ted</w:t>
      </w:r>
      <w:proofErr w:type="gramEnd"/>
      <w:r>
        <w:t xml:space="preserve"> at $321 million in 2015. Most losses (85 per cent) are due to disease caused by occupational exposure, with losses evenly</w:t>
      </w:r>
    </w:p>
    <w:p w:rsidR="00110C3D" w:rsidRDefault="00FC6933">
      <w:pPr>
        <w:pStyle w:val="BodyText"/>
        <w:spacing w:before="2" w:line="283" w:lineRule="auto"/>
        <w:ind w:left="1180"/>
      </w:pPr>
      <w:proofErr w:type="gramStart"/>
      <w:r>
        <w:t>shared</w:t>
      </w:r>
      <w:proofErr w:type="gramEnd"/>
      <w:r>
        <w:rPr>
          <w:spacing w:val="-9"/>
        </w:rPr>
        <w:t xml:space="preserve"> </w:t>
      </w:r>
      <w:r>
        <w:t>between</w:t>
      </w:r>
      <w:r>
        <w:rPr>
          <w:spacing w:val="-9"/>
        </w:rPr>
        <w:t xml:space="preserve"> </w:t>
      </w:r>
      <w:r>
        <w:t>paid</w:t>
      </w:r>
      <w:r>
        <w:rPr>
          <w:spacing w:val="-9"/>
        </w:rPr>
        <w:t xml:space="preserve"> </w:t>
      </w:r>
      <w:r>
        <w:t>and</w:t>
      </w:r>
      <w:r>
        <w:rPr>
          <w:spacing w:val="-9"/>
        </w:rPr>
        <w:t xml:space="preserve"> </w:t>
      </w:r>
      <w:r>
        <w:t>unpaid</w:t>
      </w:r>
      <w:r>
        <w:rPr>
          <w:spacing w:val="-9"/>
        </w:rPr>
        <w:t xml:space="preserve"> </w:t>
      </w:r>
      <w:r>
        <w:t>work.</w:t>
      </w:r>
      <w:r>
        <w:rPr>
          <w:spacing w:val="-9"/>
        </w:rPr>
        <w:t xml:space="preserve"> </w:t>
      </w:r>
      <w:r>
        <w:t>Overwhelming, these costs arise due to the premature death of a person, rather than their</w:t>
      </w:r>
      <w:r>
        <w:rPr>
          <w:spacing w:val="-19"/>
        </w:rPr>
        <w:t xml:space="preserve"> </w:t>
      </w:r>
      <w:r>
        <w:t>disability.</w:t>
      </w:r>
    </w:p>
    <w:p w:rsidR="00110C3D" w:rsidRDefault="00FC6933">
      <w:pPr>
        <w:pStyle w:val="Heading1"/>
        <w:spacing w:before="101"/>
        <w:ind w:right="91"/>
      </w:pPr>
      <w:r>
        <w:rPr>
          <w:w w:val="85"/>
        </w:rPr>
        <w:t>The</w:t>
      </w:r>
      <w:r>
        <w:rPr>
          <w:spacing w:val="-34"/>
          <w:w w:val="85"/>
        </w:rPr>
        <w:t xml:space="preserve"> </w:t>
      </w:r>
      <w:r>
        <w:rPr>
          <w:w w:val="85"/>
        </w:rPr>
        <w:t>burden</w:t>
      </w:r>
      <w:r>
        <w:rPr>
          <w:spacing w:val="-34"/>
          <w:w w:val="85"/>
        </w:rPr>
        <w:t xml:space="preserve"> </w:t>
      </w:r>
      <w:r>
        <w:rPr>
          <w:w w:val="85"/>
        </w:rPr>
        <w:t>to</w:t>
      </w:r>
      <w:r>
        <w:rPr>
          <w:spacing w:val="-34"/>
          <w:w w:val="85"/>
        </w:rPr>
        <w:t xml:space="preserve"> </w:t>
      </w:r>
      <w:r>
        <w:rPr>
          <w:w w:val="85"/>
        </w:rPr>
        <w:t>individuals</w:t>
      </w:r>
      <w:r>
        <w:rPr>
          <w:spacing w:val="-34"/>
          <w:w w:val="85"/>
        </w:rPr>
        <w:t xml:space="preserve"> </w:t>
      </w:r>
      <w:r>
        <w:rPr>
          <w:w w:val="85"/>
        </w:rPr>
        <w:t>living</w:t>
      </w:r>
      <w:r>
        <w:rPr>
          <w:spacing w:val="-34"/>
          <w:w w:val="85"/>
        </w:rPr>
        <w:t xml:space="preserve"> </w:t>
      </w:r>
      <w:r>
        <w:rPr>
          <w:w w:val="85"/>
        </w:rPr>
        <w:t>with</w:t>
      </w:r>
      <w:r>
        <w:rPr>
          <w:spacing w:val="-34"/>
          <w:w w:val="85"/>
        </w:rPr>
        <w:t xml:space="preserve"> </w:t>
      </w:r>
      <w:r>
        <w:rPr>
          <w:w w:val="85"/>
        </w:rPr>
        <w:t xml:space="preserve">an </w:t>
      </w:r>
      <w:r>
        <w:rPr>
          <w:w w:val="90"/>
        </w:rPr>
        <w:t>asbestos-related</w:t>
      </w:r>
      <w:r>
        <w:rPr>
          <w:spacing w:val="-14"/>
          <w:w w:val="90"/>
        </w:rPr>
        <w:t xml:space="preserve"> </w:t>
      </w:r>
      <w:r>
        <w:rPr>
          <w:w w:val="90"/>
        </w:rPr>
        <w:t>disease</w:t>
      </w:r>
    </w:p>
    <w:p w:rsidR="00110C3D" w:rsidRDefault="00FC6933">
      <w:pPr>
        <w:pStyle w:val="BodyText"/>
        <w:spacing w:before="158" w:line="283" w:lineRule="auto"/>
        <w:ind w:left="1180"/>
      </w:pPr>
      <w:r>
        <w:t>Living with an ARD is a burden for patients and their families,</w:t>
      </w:r>
      <w:r>
        <w:rPr>
          <w:spacing w:val="-16"/>
        </w:rPr>
        <w:t xml:space="preserve"> </w:t>
      </w:r>
      <w:r>
        <w:t>who</w:t>
      </w:r>
      <w:r>
        <w:rPr>
          <w:spacing w:val="-16"/>
        </w:rPr>
        <w:t xml:space="preserve"> </w:t>
      </w:r>
      <w:r>
        <w:t>experience</w:t>
      </w:r>
      <w:r>
        <w:rPr>
          <w:spacing w:val="-16"/>
        </w:rPr>
        <w:t xml:space="preserve"> </w:t>
      </w:r>
      <w:r>
        <w:t>a</w:t>
      </w:r>
      <w:r>
        <w:rPr>
          <w:spacing w:val="-16"/>
        </w:rPr>
        <w:t xml:space="preserve"> </w:t>
      </w:r>
      <w:r>
        <w:t>compromised</w:t>
      </w:r>
      <w:r>
        <w:rPr>
          <w:spacing w:val="-16"/>
        </w:rPr>
        <w:t xml:space="preserve"> </w:t>
      </w:r>
      <w:r>
        <w:t>quality</w:t>
      </w:r>
      <w:r>
        <w:rPr>
          <w:spacing w:val="-16"/>
        </w:rPr>
        <w:t xml:space="preserve"> </w:t>
      </w:r>
      <w:r>
        <w:t>of</w:t>
      </w:r>
      <w:r>
        <w:rPr>
          <w:spacing w:val="-16"/>
        </w:rPr>
        <w:t xml:space="preserve"> </w:t>
      </w:r>
      <w:r>
        <w:t xml:space="preserve">life. The losses associated with reduced quality of life </w:t>
      </w:r>
      <w:proofErr w:type="gramStart"/>
      <w:r>
        <w:t>can be</w:t>
      </w:r>
      <w:r>
        <w:rPr>
          <w:spacing w:val="-16"/>
        </w:rPr>
        <w:t xml:space="preserve"> </w:t>
      </w:r>
      <w:r>
        <w:t>represented</w:t>
      </w:r>
      <w:proofErr w:type="gramEnd"/>
      <w:r>
        <w:rPr>
          <w:spacing w:val="-16"/>
        </w:rPr>
        <w:t xml:space="preserve"> </w:t>
      </w:r>
      <w:r>
        <w:t>in</w:t>
      </w:r>
      <w:r>
        <w:rPr>
          <w:spacing w:val="-16"/>
        </w:rPr>
        <w:t xml:space="preserve"> </w:t>
      </w:r>
      <w:r>
        <w:t>Disability-Adjusted</w:t>
      </w:r>
      <w:r>
        <w:rPr>
          <w:spacing w:val="-16"/>
        </w:rPr>
        <w:t xml:space="preserve"> </w:t>
      </w:r>
      <w:r>
        <w:t>Life</w:t>
      </w:r>
      <w:r>
        <w:rPr>
          <w:spacing w:val="-16"/>
        </w:rPr>
        <w:t xml:space="preserve"> </w:t>
      </w:r>
      <w:r>
        <w:rPr>
          <w:spacing w:val="-3"/>
        </w:rPr>
        <w:t>Years</w:t>
      </w:r>
      <w:r>
        <w:rPr>
          <w:spacing w:val="-16"/>
        </w:rPr>
        <w:t xml:space="preserve"> </w:t>
      </w:r>
      <w:r>
        <w:rPr>
          <w:spacing w:val="-6"/>
        </w:rPr>
        <w:t>(DALYs),</w:t>
      </w:r>
    </w:p>
    <w:p w:rsidR="00110C3D" w:rsidRDefault="00110C3D">
      <w:pPr>
        <w:pStyle w:val="BodyText"/>
        <w:rPr>
          <w:sz w:val="20"/>
        </w:rPr>
      </w:pPr>
    </w:p>
    <w:p w:rsidR="00110C3D" w:rsidRDefault="00110C3D">
      <w:pPr>
        <w:pStyle w:val="BodyText"/>
        <w:spacing w:before="6"/>
        <w:rPr>
          <w:sz w:val="20"/>
        </w:rPr>
      </w:pPr>
    </w:p>
    <w:p w:rsidR="00110C3D" w:rsidRDefault="00FC6933">
      <w:pPr>
        <w:spacing w:line="252" w:lineRule="auto"/>
        <w:ind w:left="1180" w:hanging="1"/>
        <w:rPr>
          <w:sz w:val="14"/>
        </w:rPr>
      </w:pPr>
      <w:proofErr w:type="gramStart"/>
      <w:r>
        <w:rPr>
          <w:position w:val="5"/>
          <w:sz w:val="8"/>
        </w:rPr>
        <w:t>3</w:t>
      </w:r>
      <w:proofErr w:type="gramEnd"/>
      <w:r>
        <w:rPr>
          <w:spacing w:val="-7"/>
          <w:position w:val="5"/>
          <w:sz w:val="8"/>
        </w:rPr>
        <w:t xml:space="preserve"> </w:t>
      </w:r>
      <w:r>
        <w:rPr>
          <w:sz w:val="14"/>
        </w:rPr>
        <w:t>Australian</w:t>
      </w:r>
      <w:r>
        <w:rPr>
          <w:spacing w:val="-11"/>
          <w:sz w:val="14"/>
        </w:rPr>
        <w:t xml:space="preserve"> </w:t>
      </w:r>
      <w:r>
        <w:rPr>
          <w:sz w:val="14"/>
        </w:rPr>
        <w:t>Institute</w:t>
      </w:r>
      <w:r>
        <w:rPr>
          <w:spacing w:val="-11"/>
          <w:sz w:val="14"/>
        </w:rPr>
        <w:t xml:space="preserve"> </w:t>
      </w:r>
      <w:r>
        <w:rPr>
          <w:sz w:val="14"/>
        </w:rPr>
        <w:t>of</w:t>
      </w:r>
      <w:r>
        <w:rPr>
          <w:spacing w:val="-11"/>
          <w:sz w:val="14"/>
        </w:rPr>
        <w:t xml:space="preserve"> </w:t>
      </w:r>
      <w:r>
        <w:rPr>
          <w:sz w:val="14"/>
        </w:rPr>
        <w:t>Health</w:t>
      </w:r>
      <w:r>
        <w:rPr>
          <w:spacing w:val="-11"/>
          <w:sz w:val="14"/>
        </w:rPr>
        <w:t xml:space="preserve"> </w:t>
      </w:r>
      <w:r>
        <w:rPr>
          <w:sz w:val="14"/>
        </w:rPr>
        <w:t>and</w:t>
      </w:r>
      <w:r>
        <w:rPr>
          <w:spacing w:val="-11"/>
          <w:sz w:val="14"/>
        </w:rPr>
        <w:t xml:space="preserve"> </w:t>
      </w:r>
      <w:r>
        <w:rPr>
          <w:sz w:val="14"/>
        </w:rPr>
        <w:t>Welfare</w:t>
      </w:r>
      <w:r>
        <w:rPr>
          <w:spacing w:val="-11"/>
          <w:sz w:val="14"/>
        </w:rPr>
        <w:t xml:space="preserve"> </w:t>
      </w:r>
      <w:r>
        <w:rPr>
          <w:sz w:val="14"/>
        </w:rPr>
        <w:t>(AIHW)</w:t>
      </w:r>
      <w:r>
        <w:rPr>
          <w:spacing w:val="-11"/>
          <w:sz w:val="14"/>
        </w:rPr>
        <w:t xml:space="preserve"> </w:t>
      </w:r>
      <w:r>
        <w:rPr>
          <w:sz w:val="14"/>
        </w:rPr>
        <w:t>data</w:t>
      </w:r>
      <w:r>
        <w:rPr>
          <w:spacing w:val="-11"/>
          <w:sz w:val="14"/>
        </w:rPr>
        <w:t xml:space="preserve"> </w:t>
      </w:r>
      <w:r>
        <w:rPr>
          <w:sz w:val="14"/>
        </w:rPr>
        <w:t>request,</w:t>
      </w:r>
      <w:r>
        <w:rPr>
          <w:spacing w:val="-11"/>
          <w:sz w:val="14"/>
        </w:rPr>
        <w:t xml:space="preserve"> </w:t>
      </w:r>
      <w:r>
        <w:rPr>
          <w:sz w:val="14"/>
        </w:rPr>
        <w:t>based on data from National Hospital Morbidity and Health Expenditure databases.</w:t>
      </w:r>
    </w:p>
    <w:p w:rsidR="00110C3D" w:rsidRDefault="00FC6933">
      <w:pPr>
        <w:spacing w:before="1" w:line="252" w:lineRule="auto"/>
        <w:ind w:left="1180" w:right="375" w:hanging="1"/>
        <w:rPr>
          <w:sz w:val="14"/>
        </w:rPr>
      </w:pPr>
      <w:proofErr w:type="gramStart"/>
      <w:r>
        <w:rPr>
          <w:position w:val="5"/>
          <w:sz w:val="8"/>
        </w:rPr>
        <w:t>4</w:t>
      </w:r>
      <w:proofErr w:type="gramEnd"/>
      <w:r>
        <w:rPr>
          <w:position w:val="5"/>
          <w:sz w:val="8"/>
        </w:rPr>
        <w:t xml:space="preserve"> </w:t>
      </w:r>
      <w:r>
        <w:rPr>
          <w:sz w:val="14"/>
        </w:rPr>
        <w:t>PBS Information Management Section, 2015, Expendit</w:t>
      </w:r>
      <w:r>
        <w:rPr>
          <w:sz w:val="14"/>
        </w:rPr>
        <w:t xml:space="preserve">ure and prescriptions twelve months to 30 June 2015, </w:t>
      </w:r>
      <w:proofErr w:type="spellStart"/>
      <w:r>
        <w:rPr>
          <w:sz w:val="14"/>
        </w:rPr>
        <w:t>p.V</w:t>
      </w:r>
      <w:proofErr w:type="spellEnd"/>
      <w:r>
        <w:rPr>
          <w:sz w:val="14"/>
        </w:rPr>
        <w:t xml:space="preserve">, available at: </w:t>
      </w:r>
      <w:hyperlink r:id="rId16">
        <w:r>
          <w:rPr>
            <w:sz w:val="14"/>
          </w:rPr>
          <w:t>http://www.pbs.gov.au/statistics/2014-2015-files/exp-prs-</w:t>
        </w:r>
      </w:hyperlink>
      <w:r>
        <w:rPr>
          <w:sz w:val="14"/>
        </w:rPr>
        <w:t xml:space="preserve"> book-01-2014-15.pdf</w:t>
      </w:r>
    </w:p>
    <w:p w:rsidR="00110C3D" w:rsidRDefault="00FC6933">
      <w:pPr>
        <w:pStyle w:val="BodyText"/>
        <w:spacing w:before="86" w:line="283" w:lineRule="auto"/>
        <w:ind w:left="455" w:right="1392"/>
      </w:pPr>
      <w:r>
        <w:br w:type="column"/>
      </w:r>
      <w:proofErr w:type="gramStart"/>
      <w:r>
        <w:t>which</w:t>
      </w:r>
      <w:proofErr w:type="gramEnd"/>
      <w:r>
        <w:rPr>
          <w:spacing w:val="-12"/>
        </w:rPr>
        <w:t xml:space="preserve"> </w:t>
      </w:r>
      <w:r>
        <w:t>measure</w:t>
      </w:r>
      <w:r>
        <w:rPr>
          <w:spacing w:val="-12"/>
        </w:rPr>
        <w:t xml:space="preserve"> </w:t>
      </w:r>
      <w:r>
        <w:t>the</w:t>
      </w:r>
      <w:r>
        <w:rPr>
          <w:spacing w:val="-12"/>
        </w:rPr>
        <w:t xml:space="preserve"> </w:t>
      </w:r>
      <w:r>
        <w:t>sum</w:t>
      </w:r>
      <w:r>
        <w:rPr>
          <w:spacing w:val="-12"/>
        </w:rPr>
        <w:t xml:space="preserve"> </w:t>
      </w:r>
      <w:r>
        <w:t>of</w:t>
      </w:r>
      <w:r>
        <w:rPr>
          <w:spacing w:val="-12"/>
        </w:rPr>
        <w:t xml:space="preserve"> </w:t>
      </w:r>
      <w:r>
        <w:t>yea</w:t>
      </w:r>
      <w:r>
        <w:t>rs</w:t>
      </w:r>
      <w:r>
        <w:rPr>
          <w:spacing w:val="-12"/>
        </w:rPr>
        <w:t xml:space="preserve"> </w:t>
      </w:r>
      <w:r>
        <w:t>lost</w:t>
      </w:r>
      <w:r>
        <w:rPr>
          <w:spacing w:val="-12"/>
        </w:rPr>
        <w:t xml:space="preserve"> </w:t>
      </w:r>
      <w:r>
        <w:t>to</w:t>
      </w:r>
      <w:r>
        <w:rPr>
          <w:spacing w:val="-12"/>
        </w:rPr>
        <w:t xml:space="preserve"> </w:t>
      </w:r>
      <w:r>
        <w:t>disability</w:t>
      </w:r>
      <w:r>
        <w:rPr>
          <w:spacing w:val="-12"/>
        </w:rPr>
        <w:t xml:space="preserve"> </w:t>
      </w:r>
      <w:r>
        <w:t>and years</w:t>
      </w:r>
      <w:r>
        <w:rPr>
          <w:spacing w:val="-10"/>
        </w:rPr>
        <w:t xml:space="preserve"> </w:t>
      </w:r>
      <w:r>
        <w:t>of</w:t>
      </w:r>
      <w:r>
        <w:rPr>
          <w:spacing w:val="-10"/>
        </w:rPr>
        <w:t xml:space="preserve"> </w:t>
      </w:r>
      <w:r>
        <w:t>life</w:t>
      </w:r>
      <w:r>
        <w:rPr>
          <w:spacing w:val="-10"/>
        </w:rPr>
        <w:t xml:space="preserve"> </w:t>
      </w:r>
      <w:r>
        <w:t>lost</w:t>
      </w:r>
      <w:r>
        <w:rPr>
          <w:spacing w:val="-10"/>
        </w:rPr>
        <w:t xml:space="preserve"> </w:t>
      </w:r>
      <w:r>
        <w:t>due</w:t>
      </w:r>
      <w:r>
        <w:rPr>
          <w:spacing w:val="-10"/>
        </w:rPr>
        <w:t xml:space="preserve"> </w:t>
      </w:r>
      <w:r>
        <w:t>to</w:t>
      </w:r>
      <w:r>
        <w:rPr>
          <w:spacing w:val="-10"/>
        </w:rPr>
        <w:t xml:space="preserve"> </w:t>
      </w:r>
      <w:r>
        <w:t>death.</w:t>
      </w:r>
      <w:r>
        <w:rPr>
          <w:spacing w:val="-10"/>
        </w:rPr>
        <w:t xml:space="preserve"> </w:t>
      </w:r>
      <w:r>
        <w:t>Over</w:t>
      </w:r>
      <w:r>
        <w:rPr>
          <w:spacing w:val="-10"/>
        </w:rPr>
        <w:t xml:space="preserve"> </w:t>
      </w:r>
      <w:r>
        <w:t>the</w:t>
      </w:r>
      <w:r>
        <w:rPr>
          <w:spacing w:val="-10"/>
        </w:rPr>
        <w:t xml:space="preserve"> </w:t>
      </w:r>
      <w:r>
        <w:t>lifetime</w:t>
      </w:r>
      <w:r>
        <w:rPr>
          <w:spacing w:val="-10"/>
        </w:rPr>
        <w:t xml:space="preserve"> </w:t>
      </w:r>
      <w:r>
        <w:t>of</w:t>
      </w:r>
    </w:p>
    <w:p w:rsidR="00110C3D" w:rsidRDefault="00FC6933">
      <w:pPr>
        <w:pStyle w:val="BodyText"/>
        <w:spacing w:before="1" w:line="283" w:lineRule="auto"/>
        <w:ind w:left="455" w:right="1392"/>
      </w:pPr>
      <w:proofErr w:type="gramStart"/>
      <w:r>
        <w:t>all</w:t>
      </w:r>
      <w:proofErr w:type="gramEnd"/>
      <w:r>
        <w:t xml:space="preserve"> patients with an ARD, burden of disease losses are estimated to be 58,077 Disability-Adjusted Life Years (DALYs).</w:t>
      </w:r>
      <w:r>
        <w:rPr>
          <w:position w:val="6"/>
          <w:sz w:val="10"/>
        </w:rPr>
        <w:t xml:space="preserve">5 </w:t>
      </w:r>
      <w:r>
        <w:t>This excludes losses associated with asbestosis, for which prevalence or DALY data is not</w:t>
      </w:r>
    </w:p>
    <w:p w:rsidR="00110C3D" w:rsidRDefault="00FC6933">
      <w:pPr>
        <w:pStyle w:val="BodyText"/>
        <w:spacing w:before="3" w:line="283" w:lineRule="auto"/>
        <w:ind w:left="455" w:right="1175"/>
      </w:pPr>
      <w:proofErr w:type="gramStart"/>
      <w:r>
        <w:t>available</w:t>
      </w:r>
      <w:proofErr w:type="gramEnd"/>
      <w:r>
        <w:t>.</w:t>
      </w:r>
      <w:r>
        <w:rPr>
          <w:spacing w:val="-15"/>
        </w:rPr>
        <w:t xml:space="preserve"> </w:t>
      </w:r>
      <w:r>
        <w:t>The</w:t>
      </w:r>
      <w:r>
        <w:rPr>
          <w:spacing w:val="-15"/>
        </w:rPr>
        <w:t xml:space="preserve"> </w:t>
      </w:r>
      <w:r>
        <w:t>estimated</w:t>
      </w:r>
      <w:r>
        <w:rPr>
          <w:spacing w:val="-15"/>
        </w:rPr>
        <w:t xml:space="preserve"> </w:t>
      </w:r>
      <w:r>
        <w:t>monetary</w:t>
      </w:r>
      <w:r>
        <w:rPr>
          <w:spacing w:val="-15"/>
        </w:rPr>
        <w:t xml:space="preserve"> </w:t>
      </w:r>
      <w:r>
        <w:t>value</w:t>
      </w:r>
      <w:r>
        <w:rPr>
          <w:spacing w:val="-15"/>
        </w:rPr>
        <w:t xml:space="preserve"> </w:t>
      </w:r>
      <w:r>
        <w:t>of</w:t>
      </w:r>
      <w:r>
        <w:rPr>
          <w:spacing w:val="-15"/>
        </w:rPr>
        <w:t xml:space="preserve"> </w:t>
      </w:r>
      <w:r>
        <w:t>lost</w:t>
      </w:r>
      <w:r>
        <w:rPr>
          <w:spacing w:val="-15"/>
        </w:rPr>
        <w:t xml:space="preserve"> </w:t>
      </w:r>
      <w:r>
        <w:t xml:space="preserve">quality of life is </w:t>
      </w:r>
      <w:r>
        <w:rPr>
          <w:spacing w:val="-4"/>
        </w:rPr>
        <w:t xml:space="preserve">$10.8 </w:t>
      </w:r>
      <w:r>
        <w:t xml:space="preserve">billion in </w:t>
      </w:r>
      <w:r>
        <w:rPr>
          <w:spacing w:val="-5"/>
        </w:rPr>
        <w:t>2015.</w:t>
      </w:r>
      <w:r>
        <w:rPr>
          <w:spacing w:val="-5"/>
          <w:position w:val="6"/>
          <w:sz w:val="10"/>
        </w:rPr>
        <w:t xml:space="preserve">6 </w:t>
      </w:r>
      <w:proofErr w:type="gramStart"/>
      <w:r>
        <w:t>However,</w:t>
      </w:r>
      <w:proofErr w:type="gramEnd"/>
      <w:r>
        <w:t xml:space="preserve"> this estimate relies</w:t>
      </w:r>
      <w:r>
        <w:rPr>
          <w:spacing w:val="-12"/>
        </w:rPr>
        <w:t xml:space="preserve"> </w:t>
      </w:r>
      <w:r>
        <w:t>on</w:t>
      </w:r>
      <w:r>
        <w:rPr>
          <w:spacing w:val="-12"/>
        </w:rPr>
        <w:t xml:space="preserve"> </w:t>
      </w:r>
      <w:r>
        <w:t>a</w:t>
      </w:r>
      <w:r>
        <w:rPr>
          <w:spacing w:val="-12"/>
        </w:rPr>
        <w:t xml:space="preserve"> </w:t>
      </w:r>
      <w:r>
        <w:t>value</w:t>
      </w:r>
      <w:r>
        <w:rPr>
          <w:spacing w:val="-12"/>
        </w:rPr>
        <w:t xml:space="preserve"> </w:t>
      </w:r>
      <w:r>
        <w:t>for</w:t>
      </w:r>
      <w:r>
        <w:rPr>
          <w:spacing w:val="-12"/>
        </w:rPr>
        <w:t xml:space="preserve"> </w:t>
      </w:r>
      <w:r>
        <w:t>the</w:t>
      </w:r>
      <w:r>
        <w:rPr>
          <w:spacing w:val="-12"/>
        </w:rPr>
        <w:t xml:space="preserve"> </w:t>
      </w:r>
      <w:r>
        <w:t>value</w:t>
      </w:r>
      <w:r>
        <w:rPr>
          <w:spacing w:val="-12"/>
        </w:rPr>
        <w:t xml:space="preserve"> </w:t>
      </w:r>
      <w:r>
        <w:t>of</w:t>
      </w:r>
      <w:r>
        <w:rPr>
          <w:spacing w:val="-12"/>
        </w:rPr>
        <w:t xml:space="preserve"> </w:t>
      </w:r>
      <w:r>
        <w:t>a</w:t>
      </w:r>
      <w:r>
        <w:rPr>
          <w:spacing w:val="-12"/>
        </w:rPr>
        <w:t xml:space="preserve"> </w:t>
      </w:r>
      <w:r>
        <w:t>year</w:t>
      </w:r>
      <w:r>
        <w:rPr>
          <w:spacing w:val="-12"/>
        </w:rPr>
        <w:t xml:space="preserve"> </w:t>
      </w:r>
      <w:r>
        <w:t>of</w:t>
      </w:r>
      <w:r>
        <w:rPr>
          <w:spacing w:val="-12"/>
        </w:rPr>
        <w:t xml:space="preserve"> </w:t>
      </w:r>
      <w:r>
        <w:t>lost</w:t>
      </w:r>
      <w:r>
        <w:rPr>
          <w:spacing w:val="-12"/>
        </w:rPr>
        <w:t xml:space="preserve"> </w:t>
      </w:r>
      <w:r>
        <w:t>li</w:t>
      </w:r>
      <w:r>
        <w:t>fe</w:t>
      </w:r>
      <w:r>
        <w:rPr>
          <w:spacing w:val="-12"/>
        </w:rPr>
        <w:t xml:space="preserve"> </w:t>
      </w:r>
      <w:r>
        <w:t>which may</w:t>
      </w:r>
      <w:r>
        <w:rPr>
          <w:spacing w:val="-11"/>
        </w:rPr>
        <w:t xml:space="preserve"> </w:t>
      </w:r>
      <w:r>
        <w:t>be</w:t>
      </w:r>
      <w:r>
        <w:rPr>
          <w:spacing w:val="-11"/>
        </w:rPr>
        <w:t xml:space="preserve"> </w:t>
      </w:r>
      <w:r>
        <w:t>overstated</w:t>
      </w:r>
      <w:r>
        <w:rPr>
          <w:spacing w:val="-11"/>
        </w:rPr>
        <w:t xml:space="preserve"> </w:t>
      </w:r>
      <w:r>
        <w:t>for</w:t>
      </w:r>
      <w:r>
        <w:rPr>
          <w:spacing w:val="-11"/>
        </w:rPr>
        <w:t xml:space="preserve"> </w:t>
      </w:r>
      <w:r>
        <w:t>elderly</w:t>
      </w:r>
      <w:r>
        <w:rPr>
          <w:spacing w:val="-11"/>
        </w:rPr>
        <w:t xml:space="preserve"> </w:t>
      </w:r>
      <w:r>
        <w:t>sufferers</w:t>
      </w:r>
      <w:r>
        <w:rPr>
          <w:spacing w:val="-11"/>
        </w:rPr>
        <w:t xml:space="preserve"> </w:t>
      </w:r>
      <w:r>
        <w:t>of</w:t>
      </w:r>
      <w:r>
        <w:rPr>
          <w:spacing w:val="-11"/>
        </w:rPr>
        <w:t xml:space="preserve"> </w:t>
      </w:r>
      <w:r>
        <w:t>disease.</w:t>
      </w:r>
    </w:p>
    <w:p w:rsidR="00110C3D" w:rsidRDefault="00FC6933">
      <w:pPr>
        <w:pStyle w:val="Heading1"/>
        <w:spacing w:before="102"/>
        <w:ind w:left="455" w:right="1175"/>
      </w:pPr>
      <w:r>
        <w:rPr>
          <w:w w:val="80"/>
        </w:rPr>
        <w:t xml:space="preserve">Compensation for monetary losses for </w:t>
      </w:r>
      <w:r>
        <w:rPr>
          <w:w w:val="90"/>
        </w:rPr>
        <w:t>individuals</w:t>
      </w:r>
    </w:p>
    <w:p w:rsidR="00110C3D" w:rsidRDefault="00FC6933">
      <w:pPr>
        <w:pStyle w:val="BodyText"/>
        <w:spacing w:before="158" w:line="283" w:lineRule="auto"/>
        <w:ind w:left="455" w:right="1175"/>
      </w:pPr>
      <w:r>
        <w:t>Sufferers</w:t>
      </w:r>
      <w:r>
        <w:rPr>
          <w:spacing w:val="-13"/>
        </w:rPr>
        <w:t xml:space="preserve"> </w:t>
      </w:r>
      <w:r>
        <w:t>of</w:t>
      </w:r>
      <w:r>
        <w:rPr>
          <w:spacing w:val="-13"/>
        </w:rPr>
        <w:t xml:space="preserve"> </w:t>
      </w:r>
      <w:r>
        <w:t>ARDs</w:t>
      </w:r>
      <w:r>
        <w:rPr>
          <w:spacing w:val="-13"/>
        </w:rPr>
        <w:t xml:space="preserve"> </w:t>
      </w:r>
      <w:r>
        <w:t>often</w:t>
      </w:r>
      <w:r>
        <w:rPr>
          <w:spacing w:val="-13"/>
        </w:rPr>
        <w:t xml:space="preserve"> </w:t>
      </w:r>
      <w:r>
        <w:t>have</w:t>
      </w:r>
      <w:r>
        <w:rPr>
          <w:spacing w:val="-13"/>
        </w:rPr>
        <w:t xml:space="preserve"> </w:t>
      </w:r>
      <w:r>
        <w:t>a</w:t>
      </w:r>
      <w:r>
        <w:rPr>
          <w:spacing w:val="-13"/>
        </w:rPr>
        <w:t xml:space="preserve"> </w:t>
      </w:r>
      <w:r>
        <w:t>right</w:t>
      </w:r>
      <w:r>
        <w:rPr>
          <w:spacing w:val="-13"/>
        </w:rPr>
        <w:t xml:space="preserve"> </w:t>
      </w:r>
      <w:r>
        <w:t>to</w:t>
      </w:r>
      <w:r>
        <w:rPr>
          <w:spacing w:val="-13"/>
        </w:rPr>
        <w:t xml:space="preserve"> </w:t>
      </w:r>
      <w:r>
        <w:t>obtain</w:t>
      </w:r>
      <w:r>
        <w:rPr>
          <w:spacing w:val="-13"/>
        </w:rPr>
        <w:t xml:space="preserve"> </w:t>
      </w:r>
      <w:r>
        <w:t>monetary compensation</w:t>
      </w:r>
      <w:r>
        <w:rPr>
          <w:spacing w:val="-7"/>
        </w:rPr>
        <w:t xml:space="preserve"> </w:t>
      </w:r>
      <w:r>
        <w:t>for</w:t>
      </w:r>
      <w:r>
        <w:rPr>
          <w:spacing w:val="-7"/>
        </w:rPr>
        <w:t xml:space="preserve"> </w:t>
      </w:r>
      <w:r>
        <w:t>their</w:t>
      </w:r>
      <w:r>
        <w:rPr>
          <w:spacing w:val="-7"/>
        </w:rPr>
        <w:t xml:space="preserve"> </w:t>
      </w:r>
      <w:r>
        <w:t>loss</w:t>
      </w:r>
      <w:r>
        <w:rPr>
          <w:spacing w:val="-7"/>
        </w:rPr>
        <w:t xml:space="preserve"> </w:t>
      </w:r>
      <w:r>
        <w:t>due</w:t>
      </w:r>
      <w:r>
        <w:rPr>
          <w:spacing w:val="-7"/>
        </w:rPr>
        <w:t xml:space="preserve"> </w:t>
      </w:r>
      <w:r>
        <w:t>to</w:t>
      </w:r>
      <w:r>
        <w:rPr>
          <w:spacing w:val="-7"/>
        </w:rPr>
        <w:t xml:space="preserve"> </w:t>
      </w:r>
      <w:r>
        <w:t>the</w:t>
      </w:r>
      <w:r>
        <w:rPr>
          <w:spacing w:val="-7"/>
        </w:rPr>
        <w:t xml:space="preserve"> </w:t>
      </w:r>
      <w:r>
        <w:t>disease.</w:t>
      </w:r>
    </w:p>
    <w:p w:rsidR="00110C3D" w:rsidRDefault="00FC6933">
      <w:pPr>
        <w:pStyle w:val="BodyText"/>
        <w:spacing w:before="131"/>
        <w:ind w:left="455"/>
      </w:pPr>
      <w:r>
        <w:t>There are two main sources of compensation:</w:t>
      </w:r>
    </w:p>
    <w:p w:rsidR="00110C3D" w:rsidRDefault="00FC6933">
      <w:pPr>
        <w:pStyle w:val="BodyText"/>
        <w:spacing w:before="170" w:line="283" w:lineRule="auto"/>
        <w:ind w:left="738" w:right="1303" w:hanging="284"/>
      </w:pPr>
      <w:r>
        <w:rPr>
          <w:noProof/>
          <w:position w:val="-3"/>
          <w:lang w:val="en-AU" w:eastAsia="en-AU" w:bidi="ar-SA"/>
        </w:rPr>
        <w:drawing>
          <wp:inline distT="0" distB="0" distL="0" distR="0">
            <wp:extent cx="71843" cy="111455"/>
            <wp:effectExtent l="0" t="0" r="0" b="0"/>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7" cstate="print"/>
                    <a:stretch>
                      <a:fillRect/>
                    </a:stretch>
                  </pic:blipFill>
                  <pic:spPr>
                    <a:xfrm>
                      <a:off x="0" y="0"/>
                      <a:ext cx="71843" cy="1114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 xml:space="preserve">Statutory entitlements fulfilled by bodies such as </w:t>
      </w:r>
      <w:proofErr w:type="spellStart"/>
      <w:r>
        <w:t>icare</w:t>
      </w:r>
      <w:proofErr w:type="spellEnd"/>
      <w:r>
        <w:rPr>
          <w:spacing w:val="-12"/>
        </w:rPr>
        <w:t xml:space="preserve"> </w:t>
      </w:r>
      <w:r>
        <w:t>Dust</w:t>
      </w:r>
      <w:r>
        <w:rPr>
          <w:spacing w:val="-12"/>
        </w:rPr>
        <w:t xml:space="preserve"> </w:t>
      </w:r>
      <w:r>
        <w:t>Diseases</w:t>
      </w:r>
      <w:r>
        <w:rPr>
          <w:spacing w:val="-12"/>
        </w:rPr>
        <w:t xml:space="preserve"> </w:t>
      </w:r>
      <w:r>
        <w:t>Care</w:t>
      </w:r>
      <w:r>
        <w:rPr>
          <w:spacing w:val="-12"/>
        </w:rPr>
        <w:t xml:space="preserve"> </w:t>
      </w:r>
      <w:r>
        <w:t>(in</w:t>
      </w:r>
      <w:r>
        <w:rPr>
          <w:spacing w:val="-12"/>
        </w:rPr>
        <w:t xml:space="preserve"> </w:t>
      </w:r>
      <w:r>
        <w:t>NSW)</w:t>
      </w:r>
      <w:r>
        <w:rPr>
          <w:spacing w:val="-12"/>
        </w:rPr>
        <w:t xml:space="preserve"> </w:t>
      </w:r>
      <w:r>
        <w:t>which</w:t>
      </w:r>
      <w:r>
        <w:rPr>
          <w:spacing w:val="-12"/>
        </w:rPr>
        <w:t xml:space="preserve"> </w:t>
      </w:r>
      <w:r>
        <w:t>provide</w:t>
      </w:r>
      <w:r>
        <w:rPr>
          <w:spacing w:val="-12"/>
        </w:rPr>
        <w:t xml:space="preserve"> </w:t>
      </w:r>
      <w:r>
        <w:t>a no fault workers compensation scheme following occupational</w:t>
      </w:r>
      <w:r>
        <w:rPr>
          <w:spacing w:val="-10"/>
        </w:rPr>
        <w:t xml:space="preserve"> </w:t>
      </w:r>
      <w:r>
        <w:t>exposure</w:t>
      </w:r>
      <w:r>
        <w:rPr>
          <w:spacing w:val="-10"/>
        </w:rPr>
        <w:t xml:space="preserve"> </w:t>
      </w:r>
      <w:r>
        <w:t>in</w:t>
      </w:r>
      <w:r>
        <w:rPr>
          <w:spacing w:val="-10"/>
        </w:rPr>
        <w:t xml:space="preserve"> </w:t>
      </w:r>
      <w:r>
        <w:t>NSW</w:t>
      </w:r>
      <w:r>
        <w:rPr>
          <w:spacing w:val="-10"/>
        </w:rPr>
        <w:t xml:space="preserve"> </w:t>
      </w:r>
      <w:r>
        <w:t>to</w:t>
      </w:r>
      <w:r>
        <w:rPr>
          <w:spacing w:val="-10"/>
        </w:rPr>
        <w:t xml:space="preserve"> </w:t>
      </w:r>
      <w:r>
        <w:t>scheduled</w:t>
      </w:r>
      <w:r>
        <w:rPr>
          <w:spacing w:val="-10"/>
        </w:rPr>
        <w:t xml:space="preserve"> </w:t>
      </w:r>
      <w:r>
        <w:t>dusts under the</w:t>
      </w:r>
      <w:r>
        <w:rPr>
          <w:spacing w:val="-6"/>
        </w:rPr>
        <w:t xml:space="preserve"> </w:t>
      </w:r>
      <w:r>
        <w:t>le</w:t>
      </w:r>
      <w:r>
        <w:t>gislation.</w:t>
      </w:r>
    </w:p>
    <w:p w:rsidR="00110C3D" w:rsidRDefault="00FC6933">
      <w:pPr>
        <w:pStyle w:val="BodyText"/>
        <w:spacing w:before="134" w:line="283" w:lineRule="auto"/>
        <w:ind w:left="738" w:right="1175" w:hanging="284"/>
      </w:pPr>
      <w:r>
        <w:rPr>
          <w:noProof/>
          <w:position w:val="-3"/>
          <w:lang w:val="en-AU" w:eastAsia="en-AU" w:bidi="ar-SA"/>
        </w:rPr>
        <w:drawing>
          <wp:inline distT="0" distB="0" distL="0" distR="0">
            <wp:extent cx="71843" cy="111455"/>
            <wp:effectExtent l="0" t="0" r="0" b="0"/>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8" cstate="print"/>
                    <a:stretch>
                      <a:fillRect/>
                    </a:stretch>
                  </pic:blipFill>
                  <pic:spPr>
                    <a:xfrm>
                      <a:off x="0" y="0"/>
                      <a:ext cx="71843" cy="111455"/>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Common</w:t>
      </w:r>
      <w:r>
        <w:rPr>
          <w:spacing w:val="-7"/>
        </w:rPr>
        <w:t xml:space="preserve"> </w:t>
      </w:r>
      <w:r>
        <w:t>law</w:t>
      </w:r>
      <w:r>
        <w:rPr>
          <w:spacing w:val="-7"/>
        </w:rPr>
        <w:t xml:space="preserve"> </w:t>
      </w:r>
      <w:r>
        <w:t>damages,</w:t>
      </w:r>
      <w:r>
        <w:rPr>
          <w:spacing w:val="-7"/>
        </w:rPr>
        <w:t xml:space="preserve"> </w:t>
      </w:r>
      <w:r>
        <w:t>subject</w:t>
      </w:r>
      <w:r>
        <w:rPr>
          <w:spacing w:val="-7"/>
        </w:rPr>
        <w:t xml:space="preserve"> </w:t>
      </w:r>
      <w:r>
        <w:t>to</w:t>
      </w:r>
      <w:r>
        <w:rPr>
          <w:spacing w:val="-7"/>
        </w:rPr>
        <w:t xml:space="preserve"> </w:t>
      </w:r>
      <w:r>
        <w:t>burden</w:t>
      </w:r>
      <w:r>
        <w:rPr>
          <w:spacing w:val="-7"/>
        </w:rPr>
        <w:t xml:space="preserve"> </w:t>
      </w:r>
      <w:r>
        <w:t>of</w:t>
      </w:r>
      <w:r>
        <w:rPr>
          <w:spacing w:val="-7"/>
        </w:rPr>
        <w:t xml:space="preserve"> </w:t>
      </w:r>
      <w:r>
        <w:t>proof requirements.</w:t>
      </w:r>
    </w:p>
    <w:p w:rsidR="00110C3D" w:rsidRDefault="00FC6933">
      <w:pPr>
        <w:pStyle w:val="BodyText"/>
        <w:spacing w:before="131" w:line="283" w:lineRule="auto"/>
        <w:ind w:left="455" w:right="1111"/>
      </w:pPr>
      <w:r>
        <w:t xml:space="preserve">Compensation payments act as a lower bound estimate of the costs of ARD, as they </w:t>
      </w:r>
      <w:proofErr w:type="gramStart"/>
      <w:r>
        <w:t>are curtailed</w:t>
      </w:r>
      <w:proofErr w:type="gramEnd"/>
      <w:r>
        <w:t xml:space="preserve"> by statutory limits on payments, and difficultly in providing evidence of exposures that occurred many years ago. There are also much fewer settlements than inst</w:t>
      </w:r>
      <w:r>
        <w:t>ances of ARD.</w:t>
      </w:r>
    </w:p>
    <w:p w:rsidR="00110C3D" w:rsidRDefault="00FC6933">
      <w:pPr>
        <w:pStyle w:val="BodyText"/>
        <w:spacing w:before="134" w:line="283" w:lineRule="auto"/>
        <w:ind w:left="455" w:right="1156"/>
      </w:pPr>
      <w:r>
        <w:t>Nonetheless, the amounts of compensation payments are a useful crosscheck on estimated costs associated with ARD. Not surprisingly, compensation costs are below the estimated costs of ARD derived in this study.</w:t>
      </w:r>
    </w:p>
    <w:p w:rsidR="00110C3D" w:rsidRDefault="00FC6933">
      <w:pPr>
        <w:pStyle w:val="BodyText"/>
        <w:spacing w:before="132" w:line="283" w:lineRule="auto"/>
        <w:ind w:left="455" w:right="1118"/>
      </w:pPr>
      <w:r>
        <w:t>Mesothelioma claimants have rec</w:t>
      </w:r>
      <w:r>
        <w:t xml:space="preserve">eived the highest average compensation payment at </w:t>
      </w:r>
      <w:r>
        <w:rPr>
          <w:spacing w:val="-5"/>
        </w:rPr>
        <w:t xml:space="preserve">$31,960, </w:t>
      </w:r>
      <w:r>
        <w:t xml:space="preserve">followed by lung cancer </w:t>
      </w:r>
      <w:r>
        <w:rPr>
          <w:spacing w:val="-8"/>
        </w:rPr>
        <w:t xml:space="preserve">($19,517) </w:t>
      </w:r>
      <w:r>
        <w:t xml:space="preserve">and asbestosis claimants </w:t>
      </w:r>
      <w:r>
        <w:rPr>
          <w:spacing w:val="-7"/>
        </w:rPr>
        <w:t xml:space="preserve">($12,418), </w:t>
      </w:r>
      <w:r>
        <w:t>although there is a wide range in actual amounts paid.</w:t>
      </w:r>
      <w:r>
        <w:rPr>
          <w:position w:val="6"/>
          <w:sz w:val="10"/>
        </w:rPr>
        <w:t xml:space="preserve">7 </w:t>
      </w:r>
      <w:r>
        <w:t xml:space="preserve">The claims are paid through </w:t>
      </w:r>
      <w:proofErr w:type="spellStart"/>
      <w:r>
        <w:t>icare</w:t>
      </w:r>
      <w:proofErr w:type="spellEnd"/>
      <w:r>
        <w:t xml:space="preserve"> and do not prohibit larger common law</w:t>
      </w:r>
      <w:r>
        <w:t xml:space="preserve"> claims.</w:t>
      </w:r>
    </w:p>
    <w:p w:rsidR="00110C3D" w:rsidRDefault="00110C3D">
      <w:pPr>
        <w:pStyle w:val="BodyText"/>
        <w:rPr>
          <w:sz w:val="20"/>
        </w:rPr>
      </w:pPr>
    </w:p>
    <w:p w:rsidR="00110C3D" w:rsidRDefault="00110C3D">
      <w:pPr>
        <w:pStyle w:val="BodyText"/>
        <w:rPr>
          <w:sz w:val="20"/>
        </w:rPr>
      </w:pPr>
    </w:p>
    <w:p w:rsidR="00110C3D" w:rsidRDefault="00110C3D">
      <w:pPr>
        <w:pStyle w:val="BodyText"/>
        <w:rPr>
          <w:sz w:val="20"/>
        </w:rPr>
      </w:pPr>
    </w:p>
    <w:p w:rsidR="00110C3D" w:rsidRDefault="00110C3D">
      <w:pPr>
        <w:pStyle w:val="BodyText"/>
        <w:spacing w:before="4"/>
        <w:rPr>
          <w:sz w:val="17"/>
        </w:rPr>
      </w:pPr>
    </w:p>
    <w:p w:rsidR="00110C3D" w:rsidRDefault="00FC6933">
      <w:pPr>
        <w:spacing w:before="1" w:line="252" w:lineRule="auto"/>
        <w:ind w:left="455" w:right="1333" w:hanging="1"/>
        <w:jc w:val="both"/>
        <w:rPr>
          <w:sz w:val="14"/>
        </w:rPr>
      </w:pPr>
      <w:proofErr w:type="gramStart"/>
      <w:r>
        <w:rPr>
          <w:position w:val="5"/>
          <w:sz w:val="8"/>
        </w:rPr>
        <w:t>5</w:t>
      </w:r>
      <w:proofErr w:type="gramEnd"/>
      <w:r>
        <w:rPr>
          <w:spacing w:val="-11"/>
          <w:position w:val="5"/>
          <w:sz w:val="8"/>
        </w:rPr>
        <w:t xml:space="preserve"> </w:t>
      </w:r>
      <w:r>
        <w:rPr>
          <w:sz w:val="14"/>
        </w:rPr>
        <w:t>CIE</w:t>
      </w:r>
      <w:r>
        <w:rPr>
          <w:spacing w:val="-8"/>
          <w:sz w:val="14"/>
        </w:rPr>
        <w:t xml:space="preserve"> </w:t>
      </w:r>
      <w:r>
        <w:rPr>
          <w:sz w:val="14"/>
        </w:rPr>
        <w:t>analysis</w:t>
      </w:r>
      <w:r>
        <w:rPr>
          <w:spacing w:val="-8"/>
          <w:sz w:val="14"/>
        </w:rPr>
        <w:t xml:space="preserve"> </w:t>
      </w:r>
      <w:r>
        <w:rPr>
          <w:sz w:val="14"/>
        </w:rPr>
        <w:t>using</w:t>
      </w:r>
      <w:r>
        <w:rPr>
          <w:spacing w:val="-8"/>
          <w:sz w:val="14"/>
        </w:rPr>
        <w:t xml:space="preserve"> </w:t>
      </w:r>
      <w:r>
        <w:rPr>
          <w:sz w:val="14"/>
        </w:rPr>
        <w:t>GBD</w:t>
      </w:r>
      <w:r>
        <w:rPr>
          <w:spacing w:val="-8"/>
          <w:sz w:val="14"/>
        </w:rPr>
        <w:t xml:space="preserve"> </w:t>
      </w:r>
      <w:r>
        <w:rPr>
          <w:sz w:val="14"/>
        </w:rPr>
        <w:t>data:</w:t>
      </w:r>
      <w:r>
        <w:rPr>
          <w:spacing w:val="-8"/>
          <w:sz w:val="14"/>
        </w:rPr>
        <w:t xml:space="preserve"> </w:t>
      </w:r>
      <w:r>
        <w:rPr>
          <w:sz w:val="14"/>
        </w:rPr>
        <w:t>Institute</w:t>
      </w:r>
      <w:r>
        <w:rPr>
          <w:spacing w:val="-8"/>
          <w:sz w:val="14"/>
        </w:rPr>
        <w:t xml:space="preserve"> </w:t>
      </w:r>
      <w:r>
        <w:rPr>
          <w:sz w:val="14"/>
        </w:rPr>
        <w:t>for</w:t>
      </w:r>
      <w:r>
        <w:rPr>
          <w:spacing w:val="-8"/>
          <w:sz w:val="14"/>
        </w:rPr>
        <w:t xml:space="preserve"> </w:t>
      </w:r>
      <w:r>
        <w:rPr>
          <w:sz w:val="14"/>
        </w:rPr>
        <w:t>Health</w:t>
      </w:r>
      <w:r>
        <w:rPr>
          <w:spacing w:val="-8"/>
          <w:sz w:val="14"/>
        </w:rPr>
        <w:t xml:space="preserve"> </w:t>
      </w:r>
      <w:r>
        <w:rPr>
          <w:sz w:val="14"/>
        </w:rPr>
        <w:t>Metrics</w:t>
      </w:r>
      <w:r>
        <w:rPr>
          <w:spacing w:val="-8"/>
          <w:sz w:val="14"/>
        </w:rPr>
        <w:t xml:space="preserve"> </w:t>
      </w:r>
      <w:r>
        <w:rPr>
          <w:sz w:val="14"/>
        </w:rPr>
        <w:t>and</w:t>
      </w:r>
      <w:r>
        <w:rPr>
          <w:spacing w:val="-8"/>
          <w:sz w:val="14"/>
        </w:rPr>
        <w:t xml:space="preserve"> </w:t>
      </w:r>
      <w:proofErr w:type="spellStart"/>
      <w:r>
        <w:rPr>
          <w:sz w:val="14"/>
        </w:rPr>
        <w:t>Evalua</w:t>
      </w:r>
      <w:proofErr w:type="spellEnd"/>
      <w:r>
        <w:rPr>
          <w:sz w:val="14"/>
        </w:rPr>
        <w:t xml:space="preserve">- </w:t>
      </w:r>
      <w:proofErr w:type="spellStart"/>
      <w:r>
        <w:rPr>
          <w:sz w:val="14"/>
        </w:rPr>
        <w:t>tion</w:t>
      </w:r>
      <w:proofErr w:type="spellEnd"/>
      <w:r>
        <w:rPr>
          <w:spacing w:val="-15"/>
          <w:sz w:val="14"/>
        </w:rPr>
        <w:t xml:space="preserve"> </w:t>
      </w:r>
      <w:r>
        <w:rPr>
          <w:sz w:val="14"/>
        </w:rPr>
        <w:t>(IHME).</w:t>
      </w:r>
      <w:r>
        <w:rPr>
          <w:spacing w:val="-15"/>
          <w:sz w:val="14"/>
        </w:rPr>
        <w:t xml:space="preserve"> </w:t>
      </w:r>
      <w:r>
        <w:rPr>
          <w:sz w:val="14"/>
        </w:rPr>
        <w:t>GBD</w:t>
      </w:r>
      <w:r>
        <w:rPr>
          <w:spacing w:val="-15"/>
          <w:sz w:val="14"/>
        </w:rPr>
        <w:t xml:space="preserve"> </w:t>
      </w:r>
      <w:r>
        <w:rPr>
          <w:sz w:val="14"/>
        </w:rPr>
        <w:t>Compare</w:t>
      </w:r>
      <w:r>
        <w:rPr>
          <w:spacing w:val="-15"/>
          <w:sz w:val="14"/>
        </w:rPr>
        <w:t xml:space="preserve"> </w:t>
      </w:r>
      <w:r>
        <w:rPr>
          <w:sz w:val="14"/>
        </w:rPr>
        <w:t>Data</w:t>
      </w:r>
      <w:r>
        <w:rPr>
          <w:spacing w:val="-15"/>
          <w:sz w:val="14"/>
        </w:rPr>
        <w:t xml:space="preserve"> </w:t>
      </w:r>
      <w:r>
        <w:rPr>
          <w:sz w:val="14"/>
        </w:rPr>
        <w:t>Visualization.</w:t>
      </w:r>
      <w:r>
        <w:rPr>
          <w:spacing w:val="-15"/>
          <w:sz w:val="14"/>
        </w:rPr>
        <w:t xml:space="preserve"> </w:t>
      </w:r>
      <w:r>
        <w:rPr>
          <w:sz w:val="14"/>
        </w:rPr>
        <w:t>Seattle,</w:t>
      </w:r>
      <w:r>
        <w:rPr>
          <w:spacing w:val="-15"/>
          <w:sz w:val="14"/>
        </w:rPr>
        <w:t xml:space="preserve"> </w:t>
      </w:r>
      <w:r>
        <w:rPr>
          <w:sz w:val="14"/>
        </w:rPr>
        <w:t>WA:</w:t>
      </w:r>
      <w:r>
        <w:rPr>
          <w:spacing w:val="-15"/>
          <w:sz w:val="14"/>
        </w:rPr>
        <w:t xml:space="preserve"> </w:t>
      </w:r>
      <w:r>
        <w:rPr>
          <w:sz w:val="14"/>
        </w:rPr>
        <w:t>IHME,</w:t>
      </w:r>
      <w:r>
        <w:rPr>
          <w:spacing w:val="-15"/>
          <w:sz w:val="14"/>
        </w:rPr>
        <w:t xml:space="preserve"> </w:t>
      </w:r>
      <w:proofErr w:type="spellStart"/>
      <w:r>
        <w:rPr>
          <w:sz w:val="14"/>
        </w:rPr>
        <w:t>Uni</w:t>
      </w:r>
      <w:proofErr w:type="spellEnd"/>
      <w:r>
        <w:rPr>
          <w:sz w:val="14"/>
        </w:rPr>
        <w:t xml:space="preserve">- </w:t>
      </w:r>
      <w:proofErr w:type="spellStart"/>
      <w:r>
        <w:rPr>
          <w:sz w:val="14"/>
        </w:rPr>
        <w:t>versity</w:t>
      </w:r>
      <w:proofErr w:type="spellEnd"/>
      <w:r>
        <w:rPr>
          <w:spacing w:val="-16"/>
          <w:sz w:val="14"/>
        </w:rPr>
        <w:t xml:space="preserve"> </w:t>
      </w:r>
      <w:r>
        <w:rPr>
          <w:sz w:val="14"/>
        </w:rPr>
        <w:t>of</w:t>
      </w:r>
      <w:r>
        <w:rPr>
          <w:spacing w:val="-16"/>
          <w:sz w:val="14"/>
        </w:rPr>
        <w:t xml:space="preserve"> </w:t>
      </w:r>
      <w:r>
        <w:rPr>
          <w:sz w:val="14"/>
        </w:rPr>
        <w:t>Washington,</w:t>
      </w:r>
      <w:r>
        <w:rPr>
          <w:spacing w:val="-16"/>
          <w:sz w:val="14"/>
        </w:rPr>
        <w:t xml:space="preserve"> </w:t>
      </w:r>
      <w:r>
        <w:rPr>
          <w:spacing w:val="-3"/>
          <w:sz w:val="14"/>
        </w:rPr>
        <w:t>2016.</w:t>
      </w:r>
      <w:r>
        <w:rPr>
          <w:spacing w:val="-16"/>
          <w:sz w:val="14"/>
        </w:rPr>
        <w:t xml:space="preserve"> </w:t>
      </w:r>
      <w:r>
        <w:rPr>
          <w:sz w:val="14"/>
        </w:rPr>
        <w:t>Available</w:t>
      </w:r>
      <w:r>
        <w:rPr>
          <w:spacing w:val="-16"/>
          <w:sz w:val="14"/>
        </w:rPr>
        <w:t xml:space="preserve"> </w:t>
      </w:r>
      <w:r>
        <w:rPr>
          <w:sz w:val="14"/>
        </w:rPr>
        <w:t>from</w:t>
      </w:r>
      <w:r>
        <w:rPr>
          <w:spacing w:val="-16"/>
          <w:sz w:val="14"/>
        </w:rPr>
        <w:t xml:space="preserve"> </w:t>
      </w:r>
      <w:hyperlink r:id="rId19">
        <w:r>
          <w:rPr>
            <w:sz w:val="14"/>
          </w:rPr>
          <w:t>http://vizhub.healthdata.</w:t>
        </w:r>
      </w:hyperlink>
      <w:r>
        <w:rPr>
          <w:sz w:val="14"/>
        </w:rPr>
        <w:t xml:space="preserve"> </w:t>
      </w:r>
      <w:proofErr w:type="gramStart"/>
      <w:r>
        <w:rPr>
          <w:sz w:val="14"/>
        </w:rPr>
        <w:t>org/</w:t>
      </w:r>
      <w:proofErr w:type="spellStart"/>
      <w:r>
        <w:rPr>
          <w:sz w:val="14"/>
        </w:rPr>
        <w:t>gbd</w:t>
      </w:r>
      <w:proofErr w:type="spellEnd"/>
      <w:r>
        <w:rPr>
          <w:sz w:val="14"/>
        </w:rPr>
        <w:t>-compare</w:t>
      </w:r>
      <w:proofErr w:type="gramEnd"/>
      <w:r>
        <w:rPr>
          <w:sz w:val="14"/>
        </w:rPr>
        <w:t>.</w:t>
      </w:r>
    </w:p>
    <w:p w:rsidR="00110C3D" w:rsidRDefault="00FC6933">
      <w:pPr>
        <w:spacing w:before="2" w:line="252" w:lineRule="auto"/>
        <w:ind w:left="455" w:right="1100" w:hanging="1"/>
        <w:rPr>
          <w:sz w:val="14"/>
        </w:rPr>
      </w:pPr>
      <w:r>
        <w:rPr>
          <w:position w:val="5"/>
          <w:sz w:val="8"/>
        </w:rPr>
        <w:t xml:space="preserve">6 </w:t>
      </w:r>
      <w:r>
        <w:rPr>
          <w:sz w:val="14"/>
        </w:rPr>
        <w:t>Assuming a Value of a Statistical Life Year (VSLY) of $186 640 (indexed to $2015-16) based on: Abelson, P. 2008, Establishing a Monetary Value for Lives Saved: Issues and Controversies, Working papers in cost be</w:t>
      </w:r>
      <w:r>
        <w:rPr>
          <w:sz w:val="14"/>
        </w:rPr>
        <w:t>ne- fit analysis, WP 2008 02, Office of Best Practice Regulation, Department of Finance and Deregulation.</w:t>
      </w:r>
    </w:p>
    <w:p w:rsidR="00110C3D" w:rsidRDefault="00FC6933">
      <w:pPr>
        <w:spacing w:before="3"/>
        <w:ind w:left="455"/>
        <w:rPr>
          <w:sz w:val="14"/>
        </w:rPr>
      </w:pPr>
      <w:proofErr w:type="gramStart"/>
      <w:r>
        <w:rPr>
          <w:position w:val="5"/>
          <w:sz w:val="8"/>
        </w:rPr>
        <w:t>7</w:t>
      </w:r>
      <w:proofErr w:type="gramEnd"/>
      <w:r>
        <w:rPr>
          <w:position w:val="5"/>
          <w:sz w:val="8"/>
        </w:rPr>
        <w:t xml:space="preserve"> </w:t>
      </w:r>
      <w:r>
        <w:rPr>
          <w:sz w:val="14"/>
        </w:rPr>
        <w:t xml:space="preserve">Based on data provided by </w:t>
      </w:r>
      <w:proofErr w:type="spellStart"/>
      <w:r>
        <w:rPr>
          <w:sz w:val="14"/>
        </w:rPr>
        <w:t>icare</w:t>
      </w:r>
      <w:proofErr w:type="spellEnd"/>
      <w:r>
        <w:rPr>
          <w:sz w:val="14"/>
        </w:rPr>
        <w:t xml:space="preserve"> Dust Diseases Care for 2015/16.</w:t>
      </w:r>
    </w:p>
    <w:p w:rsidR="00110C3D" w:rsidRDefault="00110C3D">
      <w:pPr>
        <w:rPr>
          <w:sz w:val="14"/>
        </w:rPr>
        <w:sectPr w:rsidR="00110C3D">
          <w:pgSz w:w="11910" w:h="16840"/>
          <w:pgMar w:top="1560" w:right="520" w:bottom="280" w:left="520" w:header="720" w:footer="720" w:gutter="0"/>
          <w:cols w:num="2" w:space="720" w:equalWidth="0">
            <w:col w:w="5165" w:space="40"/>
            <w:col w:w="5665"/>
          </w:cols>
        </w:sectPr>
      </w:pPr>
    </w:p>
    <w:p w:rsidR="00110C3D" w:rsidRDefault="00FC6933">
      <w:pPr>
        <w:pStyle w:val="BodyText"/>
        <w:spacing w:before="86" w:line="283" w:lineRule="auto"/>
        <w:ind w:left="1180" w:right="20"/>
      </w:pPr>
      <w:r>
        <w:lastRenderedPageBreak/>
        <w:t xml:space="preserve">Common law claims from companies such as James </w:t>
      </w:r>
      <w:proofErr w:type="spellStart"/>
      <w:r>
        <w:t>Hardie</w:t>
      </w:r>
      <w:proofErr w:type="spellEnd"/>
      <w:r>
        <w:t xml:space="preserve"> can be much larger. Average compensation payments by James </w:t>
      </w:r>
      <w:proofErr w:type="spellStart"/>
      <w:r>
        <w:t>Hardie</w:t>
      </w:r>
      <w:proofErr w:type="spellEnd"/>
      <w:r>
        <w:t xml:space="preserve"> were </w:t>
      </w:r>
      <w:r>
        <w:rPr>
          <w:spacing w:val="-3"/>
        </w:rPr>
        <w:t xml:space="preserve">$295 </w:t>
      </w:r>
      <w:r>
        <w:t xml:space="preserve">000 for mesothelioma, </w:t>
      </w:r>
      <w:r>
        <w:rPr>
          <w:spacing w:val="-5"/>
        </w:rPr>
        <w:t xml:space="preserve">$100 </w:t>
      </w:r>
      <w:r>
        <w:t xml:space="preserve">000 for asbestosis and </w:t>
      </w:r>
      <w:r>
        <w:rPr>
          <w:spacing w:val="-11"/>
        </w:rPr>
        <w:t xml:space="preserve">$115 </w:t>
      </w:r>
      <w:r>
        <w:t xml:space="preserve">000 for lung cancer in </w:t>
      </w:r>
      <w:r>
        <w:rPr>
          <w:spacing w:val="-5"/>
        </w:rPr>
        <w:t>2015–16.</w:t>
      </w:r>
      <w:r>
        <w:rPr>
          <w:spacing w:val="-5"/>
          <w:position w:val="6"/>
          <w:sz w:val="10"/>
        </w:rPr>
        <w:t xml:space="preserve">8 </w:t>
      </w:r>
      <w:proofErr w:type="gramStart"/>
      <w:r>
        <w:t>Additionally</w:t>
      </w:r>
      <w:proofErr w:type="gramEnd"/>
      <w:r>
        <w:t xml:space="preserve">, a number of claims paid </w:t>
      </w:r>
      <w:r>
        <w:t xml:space="preserve">by James </w:t>
      </w:r>
      <w:proofErr w:type="spellStart"/>
      <w:r>
        <w:t>Hardie</w:t>
      </w:r>
      <w:proofErr w:type="spellEnd"/>
      <w:r>
        <w:t xml:space="preserve"> have been in the multi- millions.</w:t>
      </w:r>
      <w:r>
        <w:rPr>
          <w:spacing w:val="-18"/>
        </w:rPr>
        <w:t xml:space="preserve"> </w:t>
      </w:r>
      <w:r>
        <w:t>However,</w:t>
      </w:r>
      <w:r>
        <w:rPr>
          <w:spacing w:val="-18"/>
        </w:rPr>
        <w:t xml:space="preserve"> </w:t>
      </w:r>
      <w:r>
        <w:t>James</w:t>
      </w:r>
      <w:r>
        <w:rPr>
          <w:spacing w:val="-18"/>
        </w:rPr>
        <w:t xml:space="preserve"> </w:t>
      </w:r>
      <w:proofErr w:type="spellStart"/>
      <w:r>
        <w:t>Hardie</w:t>
      </w:r>
      <w:proofErr w:type="spellEnd"/>
      <w:r>
        <w:rPr>
          <w:spacing w:val="-18"/>
        </w:rPr>
        <w:t xml:space="preserve"> </w:t>
      </w:r>
      <w:r>
        <w:t>is</w:t>
      </w:r>
      <w:r>
        <w:rPr>
          <w:spacing w:val="-18"/>
        </w:rPr>
        <w:t xml:space="preserve"> </w:t>
      </w:r>
      <w:r>
        <w:t>only</w:t>
      </w:r>
      <w:r>
        <w:rPr>
          <w:spacing w:val="-18"/>
        </w:rPr>
        <w:t xml:space="preserve"> </w:t>
      </w:r>
      <w:r>
        <w:t>one</w:t>
      </w:r>
      <w:r>
        <w:rPr>
          <w:spacing w:val="-18"/>
        </w:rPr>
        <w:t xml:space="preserve"> </w:t>
      </w:r>
      <w:r>
        <w:t>defendant and</w:t>
      </w:r>
      <w:r>
        <w:rPr>
          <w:spacing w:val="-6"/>
        </w:rPr>
        <w:t xml:space="preserve"> </w:t>
      </w:r>
      <w:r>
        <w:t>many</w:t>
      </w:r>
      <w:r>
        <w:rPr>
          <w:spacing w:val="-6"/>
        </w:rPr>
        <w:t xml:space="preserve"> </w:t>
      </w:r>
      <w:r>
        <w:t>claims</w:t>
      </w:r>
      <w:r>
        <w:rPr>
          <w:spacing w:val="-6"/>
        </w:rPr>
        <w:t xml:space="preserve"> </w:t>
      </w:r>
      <w:r>
        <w:t>are</w:t>
      </w:r>
      <w:r>
        <w:rPr>
          <w:spacing w:val="-6"/>
        </w:rPr>
        <w:t xml:space="preserve"> </w:t>
      </w:r>
      <w:r>
        <w:t>settled</w:t>
      </w:r>
      <w:r>
        <w:rPr>
          <w:spacing w:val="-6"/>
        </w:rPr>
        <w:t xml:space="preserve"> </w:t>
      </w:r>
      <w:r>
        <w:t>and</w:t>
      </w:r>
      <w:r>
        <w:rPr>
          <w:spacing w:val="-6"/>
        </w:rPr>
        <w:t xml:space="preserve"> </w:t>
      </w:r>
      <w:r>
        <w:t>confidential.</w:t>
      </w:r>
    </w:p>
    <w:p w:rsidR="00110C3D" w:rsidRDefault="00FC6933">
      <w:pPr>
        <w:pStyle w:val="Heading1"/>
        <w:spacing w:before="105"/>
        <w:ind w:right="20"/>
      </w:pPr>
      <w:r>
        <w:rPr>
          <w:w w:val="80"/>
        </w:rPr>
        <w:t xml:space="preserve">Implications for future research and </w:t>
      </w:r>
      <w:r>
        <w:rPr>
          <w:w w:val="90"/>
        </w:rPr>
        <w:t>policy development</w:t>
      </w:r>
    </w:p>
    <w:p w:rsidR="00110C3D" w:rsidRDefault="00FC6933">
      <w:pPr>
        <w:pStyle w:val="BodyText"/>
        <w:spacing w:before="157" w:line="283" w:lineRule="auto"/>
        <w:ind w:left="1180" w:right="-7"/>
      </w:pPr>
      <w:r>
        <w:t>ARDs impose a substantial burden on suffers and the wider</w:t>
      </w:r>
      <w:r>
        <w:rPr>
          <w:spacing w:val="-15"/>
        </w:rPr>
        <w:t xml:space="preserve"> </w:t>
      </w:r>
      <w:r>
        <w:t>community</w:t>
      </w:r>
      <w:r>
        <w:rPr>
          <w:spacing w:val="-15"/>
        </w:rPr>
        <w:t xml:space="preserve"> </w:t>
      </w:r>
      <w:r>
        <w:t>and</w:t>
      </w:r>
      <w:r>
        <w:rPr>
          <w:spacing w:val="-15"/>
        </w:rPr>
        <w:t xml:space="preserve"> </w:t>
      </w:r>
      <w:r>
        <w:t>economy.</w:t>
      </w:r>
      <w:r>
        <w:rPr>
          <w:spacing w:val="-15"/>
        </w:rPr>
        <w:t xml:space="preserve"> </w:t>
      </w:r>
      <w:r>
        <w:t>Not</w:t>
      </w:r>
      <w:r>
        <w:rPr>
          <w:spacing w:val="-15"/>
        </w:rPr>
        <w:t xml:space="preserve"> </w:t>
      </w:r>
      <w:r>
        <w:t>all</w:t>
      </w:r>
      <w:r>
        <w:rPr>
          <w:spacing w:val="-15"/>
        </w:rPr>
        <w:t xml:space="preserve"> </w:t>
      </w:r>
      <w:r>
        <w:t>costs</w:t>
      </w:r>
      <w:r>
        <w:rPr>
          <w:spacing w:val="-15"/>
        </w:rPr>
        <w:t xml:space="preserve"> </w:t>
      </w:r>
      <w:r>
        <w:t xml:space="preserve">associated with ARD </w:t>
      </w:r>
      <w:proofErr w:type="gramStart"/>
      <w:r>
        <w:t>are known</w:t>
      </w:r>
      <w:proofErr w:type="gramEnd"/>
      <w:r>
        <w:t>, and certainly not all costs are measurable</w:t>
      </w:r>
      <w:r>
        <w:rPr>
          <w:spacing w:val="-17"/>
        </w:rPr>
        <w:t xml:space="preserve"> </w:t>
      </w:r>
      <w:r>
        <w:t>based</w:t>
      </w:r>
      <w:r>
        <w:rPr>
          <w:spacing w:val="-17"/>
        </w:rPr>
        <w:t xml:space="preserve"> </w:t>
      </w:r>
      <w:r>
        <w:t>on</w:t>
      </w:r>
      <w:r>
        <w:rPr>
          <w:spacing w:val="-17"/>
        </w:rPr>
        <w:t xml:space="preserve"> </w:t>
      </w:r>
      <w:r>
        <w:t>data</w:t>
      </w:r>
      <w:r>
        <w:rPr>
          <w:spacing w:val="-17"/>
        </w:rPr>
        <w:t xml:space="preserve"> </w:t>
      </w:r>
      <w:r>
        <w:t>that</w:t>
      </w:r>
      <w:r>
        <w:rPr>
          <w:spacing w:val="-17"/>
        </w:rPr>
        <w:t xml:space="preserve"> </w:t>
      </w:r>
      <w:r>
        <w:t>is</w:t>
      </w:r>
      <w:r>
        <w:rPr>
          <w:spacing w:val="-17"/>
        </w:rPr>
        <w:t xml:space="preserve"> </w:t>
      </w:r>
      <w:r>
        <w:t>available</w:t>
      </w:r>
      <w:r>
        <w:rPr>
          <w:spacing w:val="-17"/>
        </w:rPr>
        <w:t xml:space="preserve"> </w:t>
      </w:r>
      <w:r>
        <w:rPr>
          <w:spacing w:val="-3"/>
        </w:rPr>
        <w:t>today.</w:t>
      </w:r>
      <w:r>
        <w:rPr>
          <w:spacing w:val="-17"/>
        </w:rPr>
        <w:t xml:space="preserve"> </w:t>
      </w:r>
      <w:r>
        <w:t>Hence, this report provides a lower bound estimate of the financial</w:t>
      </w:r>
      <w:r>
        <w:rPr>
          <w:spacing w:val="-11"/>
        </w:rPr>
        <w:t xml:space="preserve"> </w:t>
      </w:r>
      <w:r>
        <w:t>burden</w:t>
      </w:r>
      <w:r>
        <w:rPr>
          <w:spacing w:val="-10"/>
        </w:rPr>
        <w:t xml:space="preserve"> </w:t>
      </w:r>
      <w:r>
        <w:t>of</w:t>
      </w:r>
      <w:r>
        <w:rPr>
          <w:spacing w:val="-11"/>
        </w:rPr>
        <w:t xml:space="preserve"> </w:t>
      </w:r>
      <w:r>
        <w:t>ARD</w:t>
      </w:r>
      <w:r>
        <w:rPr>
          <w:spacing w:val="-10"/>
        </w:rPr>
        <w:t xml:space="preserve"> </w:t>
      </w:r>
      <w:r>
        <w:t>in</w:t>
      </w:r>
      <w:r>
        <w:rPr>
          <w:spacing w:val="-10"/>
        </w:rPr>
        <w:t xml:space="preserve"> </w:t>
      </w:r>
      <w:r>
        <w:t>the</w:t>
      </w:r>
      <w:r>
        <w:rPr>
          <w:spacing w:val="-11"/>
        </w:rPr>
        <w:t xml:space="preserve"> </w:t>
      </w:r>
      <w:r>
        <w:t>Australian</w:t>
      </w:r>
      <w:r>
        <w:rPr>
          <w:spacing w:val="-11"/>
        </w:rPr>
        <w:t xml:space="preserve"> </w:t>
      </w:r>
      <w:r>
        <w:t>commun</w:t>
      </w:r>
      <w:r>
        <w:t>ity.</w:t>
      </w:r>
    </w:p>
    <w:p w:rsidR="00110C3D" w:rsidRDefault="00FC6933">
      <w:pPr>
        <w:pStyle w:val="BodyText"/>
        <w:spacing w:before="86" w:line="283" w:lineRule="auto"/>
        <w:ind w:left="413" w:right="1113"/>
      </w:pPr>
      <w:r>
        <w:br w:type="column"/>
      </w:r>
      <w:r>
        <w:t xml:space="preserve">Key areas where costs have not been quantified include the costs of mental ill health associated with ARDs, and the costs of the governance and reporting framework that surrounds the current footprint of asbestos in the Australian community. Further </w:t>
      </w:r>
      <w:r>
        <w:t>research in these areas would expand the understanding of the costs of ARD and contribute to asbestos policy development.</w:t>
      </w:r>
    </w:p>
    <w:p w:rsidR="00110C3D" w:rsidRDefault="00FC6933">
      <w:pPr>
        <w:pStyle w:val="BodyText"/>
        <w:spacing w:before="135" w:line="283" w:lineRule="auto"/>
        <w:ind w:left="413" w:right="1113"/>
      </w:pPr>
      <w:r>
        <w:t>Policies that are able to reduce asbestos exposure and the incidence of ARDs would reduce health system and productivity costs associa</w:t>
      </w:r>
      <w:r>
        <w:t>ted with the disease and free up valuable resources for other health priorities.</w:t>
      </w:r>
    </w:p>
    <w:p w:rsidR="00110C3D" w:rsidRDefault="00FC6933">
      <w:pPr>
        <w:pStyle w:val="BodyText"/>
        <w:spacing w:before="132" w:line="283" w:lineRule="auto"/>
        <w:ind w:left="413" w:right="1328"/>
      </w:pPr>
      <w:r>
        <w:t xml:space="preserve">There are </w:t>
      </w:r>
      <w:proofErr w:type="gramStart"/>
      <w:r>
        <w:t>a wide range</w:t>
      </w:r>
      <w:proofErr w:type="gramEnd"/>
      <w:r>
        <w:t xml:space="preserve"> of policy options, all of which impose different costs and have different funding implications. The costing work understanding as part of this study, an</w:t>
      </w:r>
      <w:r>
        <w:t>d potential future work on other identifiable costs, will help guide policy analysis that</w:t>
      </w:r>
    </w:p>
    <w:p w:rsidR="00110C3D" w:rsidRDefault="00FC6933">
      <w:pPr>
        <w:pStyle w:val="BodyText"/>
        <w:spacing w:before="3" w:line="283" w:lineRule="auto"/>
        <w:ind w:left="413" w:right="1113"/>
      </w:pPr>
      <w:proofErr w:type="gramStart"/>
      <w:r>
        <w:t>seeks</w:t>
      </w:r>
      <w:proofErr w:type="gramEnd"/>
      <w:r>
        <w:t xml:space="preserve"> to establish whether changes in asbestos policy will deliver net benefits for society.</w:t>
      </w:r>
    </w:p>
    <w:p w:rsidR="00110C3D" w:rsidRDefault="00110C3D">
      <w:pPr>
        <w:spacing w:line="283" w:lineRule="auto"/>
        <w:sectPr w:rsidR="00110C3D">
          <w:pgSz w:w="11910" w:h="16840"/>
          <w:pgMar w:top="1560" w:right="520" w:bottom="280" w:left="520" w:header="720" w:footer="720" w:gutter="0"/>
          <w:cols w:num="2" w:space="720" w:equalWidth="0">
            <w:col w:w="5207" w:space="40"/>
            <w:col w:w="5623"/>
          </w:cols>
        </w:sectPr>
      </w:pPr>
    </w:p>
    <w:p w:rsidR="00110C3D" w:rsidRDefault="00110C3D">
      <w:pPr>
        <w:pStyle w:val="BodyText"/>
        <w:rPr>
          <w:sz w:val="20"/>
        </w:rPr>
      </w:pPr>
    </w:p>
    <w:p w:rsidR="00110C3D" w:rsidRDefault="00110C3D">
      <w:pPr>
        <w:pStyle w:val="BodyText"/>
        <w:rPr>
          <w:sz w:val="20"/>
        </w:rPr>
      </w:pPr>
    </w:p>
    <w:p w:rsidR="00110C3D" w:rsidRDefault="00110C3D">
      <w:pPr>
        <w:pStyle w:val="BodyText"/>
        <w:spacing w:before="9"/>
        <w:rPr>
          <w:sz w:val="15"/>
        </w:rPr>
      </w:pPr>
    </w:p>
    <w:p w:rsidR="00110C3D" w:rsidRDefault="00FC6933">
      <w:pPr>
        <w:spacing w:before="98" w:line="252" w:lineRule="auto"/>
        <w:ind w:left="1180" w:right="5496"/>
        <w:rPr>
          <w:sz w:val="14"/>
        </w:rPr>
      </w:pPr>
      <w:r>
        <w:rPr>
          <w:position w:val="5"/>
          <w:sz w:val="8"/>
        </w:rPr>
        <w:t>8</w:t>
      </w:r>
      <w:r>
        <w:rPr>
          <w:spacing w:val="-6"/>
          <w:position w:val="5"/>
          <w:sz w:val="8"/>
        </w:rPr>
        <w:t xml:space="preserve"> </w:t>
      </w:r>
      <w:r>
        <w:rPr>
          <w:sz w:val="14"/>
        </w:rPr>
        <w:t>KPMG,</w:t>
      </w:r>
      <w:r>
        <w:rPr>
          <w:spacing w:val="-14"/>
          <w:sz w:val="14"/>
        </w:rPr>
        <w:t xml:space="preserve"> </w:t>
      </w:r>
      <w:r>
        <w:rPr>
          <w:spacing w:val="-3"/>
          <w:sz w:val="14"/>
        </w:rPr>
        <w:t>2016,</w:t>
      </w:r>
      <w:r>
        <w:rPr>
          <w:spacing w:val="-14"/>
          <w:sz w:val="14"/>
        </w:rPr>
        <w:t xml:space="preserve"> </w:t>
      </w:r>
      <w:r>
        <w:rPr>
          <w:sz w:val="14"/>
        </w:rPr>
        <w:t>Valuation</w:t>
      </w:r>
      <w:r>
        <w:rPr>
          <w:spacing w:val="-14"/>
          <w:sz w:val="14"/>
        </w:rPr>
        <w:t xml:space="preserve"> </w:t>
      </w:r>
      <w:r>
        <w:rPr>
          <w:sz w:val="14"/>
        </w:rPr>
        <w:t>of</w:t>
      </w:r>
      <w:r>
        <w:rPr>
          <w:spacing w:val="-14"/>
          <w:sz w:val="14"/>
        </w:rPr>
        <w:t xml:space="preserve"> </w:t>
      </w:r>
      <w:r>
        <w:rPr>
          <w:sz w:val="14"/>
        </w:rPr>
        <w:t>asbestos-related</w:t>
      </w:r>
      <w:r>
        <w:rPr>
          <w:spacing w:val="-14"/>
          <w:sz w:val="14"/>
        </w:rPr>
        <w:t xml:space="preserve"> </w:t>
      </w:r>
      <w:r>
        <w:rPr>
          <w:sz w:val="14"/>
        </w:rPr>
        <w:t>d</w:t>
      </w:r>
      <w:r>
        <w:rPr>
          <w:sz w:val="14"/>
        </w:rPr>
        <w:t>isease</w:t>
      </w:r>
      <w:r>
        <w:rPr>
          <w:spacing w:val="-14"/>
          <w:sz w:val="14"/>
        </w:rPr>
        <w:t xml:space="preserve"> </w:t>
      </w:r>
      <w:r>
        <w:rPr>
          <w:sz w:val="14"/>
        </w:rPr>
        <w:t>liabilities</w:t>
      </w:r>
      <w:r>
        <w:rPr>
          <w:spacing w:val="-14"/>
          <w:sz w:val="14"/>
        </w:rPr>
        <w:t xml:space="preserve"> </w:t>
      </w:r>
      <w:r>
        <w:rPr>
          <w:sz w:val="14"/>
        </w:rPr>
        <w:t>of</w:t>
      </w:r>
      <w:r>
        <w:rPr>
          <w:spacing w:val="-14"/>
          <w:sz w:val="14"/>
        </w:rPr>
        <w:t xml:space="preserve"> </w:t>
      </w:r>
      <w:r>
        <w:rPr>
          <w:sz w:val="14"/>
        </w:rPr>
        <w:t>former James</w:t>
      </w:r>
      <w:r>
        <w:rPr>
          <w:spacing w:val="-9"/>
          <w:sz w:val="14"/>
        </w:rPr>
        <w:t xml:space="preserve"> </w:t>
      </w:r>
      <w:proofErr w:type="spellStart"/>
      <w:r>
        <w:rPr>
          <w:sz w:val="14"/>
        </w:rPr>
        <w:t>Hardie</w:t>
      </w:r>
      <w:proofErr w:type="spellEnd"/>
      <w:r>
        <w:rPr>
          <w:spacing w:val="-9"/>
          <w:sz w:val="14"/>
        </w:rPr>
        <w:t xml:space="preserve"> </w:t>
      </w:r>
      <w:r>
        <w:rPr>
          <w:sz w:val="14"/>
        </w:rPr>
        <w:t>entities</w:t>
      </w:r>
      <w:r>
        <w:rPr>
          <w:spacing w:val="-9"/>
          <w:sz w:val="14"/>
        </w:rPr>
        <w:t xml:space="preserve"> </w:t>
      </w:r>
      <w:r>
        <w:rPr>
          <w:sz w:val="14"/>
        </w:rPr>
        <w:t>(“the</w:t>
      </w:r>
      <w:r>
        <w:rPr>
          <w:spacing w:val="-9"/>
          <w:sz w:val="14"/>
        </w:rPr>
        <w:t xml:space="preserve"> </w:t>
      </w:r>
      <w:r>
        <w:rPr>
          <w:sz w:val="14"/>
        </w:rPr>
        <w:t>liable</w:t>
      </w:r>
      <w:r>
        <w:rPr>
          <w:spacing w:val="-9"/>
          <w:sz w:val="14"/>
        </w:rPr>
        <w:t xml:space="preserve"> </w:t>
      </w:r>
      <w:r>
        <w:rPr>
          <w:sz w:val="14"/>
        </w:rPr>
        <w:t>entities”)</w:t>
      </w:r>
      <w:r>
        <w:rPr>
          <w:spacing w:val="-9"/>
          <w:sz w:val="14"/>
        </w:rPr>
        <w:t xml:space="preserve"> </w:t>
      </w:r>
      <w:r>
        <w:rPr>
          <w:sz w:val="14"/>
        </w:rPr>
        <w:t>to</w:t>
      </w:r>
      <w:r>
        <w:rPr>
          <w:spacing w:val="-9"/>
          <w:sz w:val="14"/>
        </w:rPr>
        <w:t xml:space="preserve"> </w:t>
      </w:r>
      <w:r>
        <w:rPr>
          <w:sz w:val="14"/>
        </w:rPr>
        <w:t>be</w:t>
      </w:r>
      <w:r>
        <w:rPr>
          <w:spacing w:val="-9"/>
          <w:sz w:val="14"/>
        </w:rPr>
        <w:t xml:space="preserve"> </w:t>
      </w:r>
      <w:r>
        <w:rPr>
          <w:sz w:val="14"/>
        </w:rPr>
        <w:t>met</w:t>
      </w:r>
      <w:r>
        <w:rPr>
          <w:spacing w:val="-9"/>
          <w:sz w:val="14"/>
        </w:rPr>
        <w:t xml:space="preserve"> </w:t>
      </w:r>
      <w:r>
        <w:rPr>
          <w:sz w:val="14"/>
        </w:rPr>
        <w:t>by</w:t>
      </w:r>
      <w:r>
        <w:rPr>
          <w:spacing w:val="-9"/>
          <w:sz w:val="14"/>
        </w:rPr>
        <w:t xml:space="preserve"> </w:t>
      </w:r>
      <w:r>
        <w:rPr>
          <w:sz w:val="14"/>
        </w:rPr>
        <w:t>the</w:t>
      </w:r>
      <w:r>
        <w:rPr>
          <w:spacing w:val="-9"/>
          <w:sz w:val="14"/>
        </w:rPr>
        <w:t xml:space="preserve"> </w:t>
      </w:r>
      <w:r>
        <w:rPr>
          <w:sz w:val="14"/>
        </w:rPr>
        <w:t>AICF</w:t>
      </w:r>
      <w:r>
        <w:rPr>
          <w:spacing w:val="-9"/>
          <w:sz w:val="14"/>
        </w:rPr>
        <w:t xml:space="preserve"> </w:t>
      </w:r>
      <w:r>
        <w:rPr>
          <w:sz w:val="14"/>
        </w:rPr>
        <w:t xml:space="preserve">Trust, prepared for Asbestos Injuries Compensation Fund Limited (“AICFL”), May, </w:t>
      </w:r>
      <w:r>
        <w:rPr>
          <w:spacing w:val="-3"/>
          <w:sz w:val="14"/>
        </w:rPr>
        <w:t xml:space="preserve">2016, </w:t>
      </w:r>
      <w:r>
        <w:rPr>
          <w:sz w:val="14"/>
        </w:rPr>
        <w:t xml:space="preserve">available at: </w:t>
      </w:r>
      <w:hyperlink r:id="rId20">
        <w:r>
          <w:rPr>
            <w:sz w:val="14"/>
          </w:rPr>
          <w:t>http://www.ir.jameshardie.com.au/public/</w:t>
        </w:r>
      </w:hyperlink>
      <w:r>
        <w:rPr>
          <w:sz w:val="14"/>
        </w:rPr>
        <w:t xml:space="preserve"> </w:t>
      </w:r>
      <w:proofErr w:type="spellStart"/>
      <w:r>
        <w:rPr>
          <w:sz w:val="14"/>
        </w:rPr>
        <w:t>download.jsp?id</w:t>
      </w:r>
      <w:proofErr w:type="spellEnd"/>
      <w:r>
        <w:rPr>
          <w:sz w:val="14"/>
        </w:rPr>
        <w:t>=5839&amp;showOrig=t</w:t>
      </w:r>
    </w:p>
    <w:p w:rsidR="00110C3D" w:rsidRDefault="00110C3D">
      <w:pPr>
        <w:pStyle w:val="BodyText"/>
        <w:rPr>
          <w:sz w:val="20"/>
        </w:rPr>
      </w:pPr>
    </w:p>
    <w:p w:rsidR="00110C3D" w:rsidRDefault="00110C3D">
      <w:pPr>
        <w:pStyle w:val="BodyText"/>
        <w:rPr>
          <w:sz w:val="20"/>
        </w:rPr>
      </w:pPr>
    </w:p>
    <w:p w:rsidR="00110C3D" w:rsidRDefault="00FC6933">
      <w:pPr>
        <w:pStyle w:val="BodyText"/>
        <w:spacing w:before="5"/>
        <w:rPr>
          <w:sz w:val="23"/>
        </w:rPr>
      </w:pPr>
      <w:r>
        <w:rPr>
          <w:noProof/>
          <w:lang w:val="en-AU" w:eastAsia="en-AU" w:bidi="ar-SA"/>
        </w:rPr>
        <w:drawing>
          <wp:anchor distT="0" distB="0" distL="0" distR="0" simplePos="0" relativeHeight="1216" behindDoc="0" locked="0" layoutInCell="1" allowOverlap="1">
            <wp:simplePos x="0" y="0"/>
            <wp:positionH relativeFrom="page">
              <wp:posOffset>395998</wp:posOffset>
            </wp:positionH>
            <wp:positionV relativeFrom="paragraph">
              <wp:posOffset>206427</wp:posOffset>
            </wp:positionV>
            <wp:extent cx="6738306" cy="4289107"/>
            <wp:effectExtent l="0" t="0" r="0" b="0"/>
            <wp:wrapTopAndBottom/>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jpeg"/>
                    <pic:cNvPicPr/>
                  </pic:nvPicPr>
                  <pic:blipFill>
                    <a:blip r:embed="rId21" cstate="print"/>
                    <a:stretch>
                      <a:fillRect/>
                    </a:stretch>
                  </pic:blipFill>
                  <pic:spPr>
                    <a:xfrm>
                      <a:off x="0" y="0"/>
                      <a:ext cx="6738306" cy="4289107"/>
                    </a:xfrm>
                    <a:prstGeom prst="rect">
                      <a:avLst/>
                    </a:prstGeom>
                  </pic:spPr>
                </pic:pic>
              </a:graphicData>
            </a:graphic>
          </wp:anchor>
        </w:drawing>
      </w:r>
    </w:p>
    <w:sectPr w:rsidR="00110C3D">
      <w:type w:val="continuous"/>
      <w:pgSz w:w="11910" w:h="16840"/>
      <w:pgMar w:top="158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10C3D"/>
    <w:rsid w:val="00110C3D"/>
    <w:rsid w:val="00FC6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0DDB878A"/>
  <w15:docId w15:val="{E6B2D80B-749A-4705-80D8-01F90383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3"/>
      <w:ind w:left="1180"/>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hyperlink" Target="http://www.pbs.gov.au/statistics/2014-2015-files/exp-prs-" TargetMode="External"/><Relationship Id="rId20" Type="http://schemas.openxmlformats.org/officeDocument/2006/relationships/hyperlink" Target="http://www.ir.jameshardie.com.au/publi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vizhub/" TargetMode="External"/><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hyperlink" Target="http://vizhub.healthdata/"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6E9ECA17.dotm</Template>
  <TotalTime>1</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GORFORD,Alexandra</cp:lastModifiedBy>
  <cp:revision>2</cp:revision>
  <dcterms:created xsi:type="dcterms:W3CDTF">2018-06-21T00:16:00Z</dcterms:created>
  <dcterms:modified xsi:type="dcterms:W3CDTF">2018-07-03T05:15:00Z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Adobe InDesign CC 13.1 (Macintosh)</vt:lpwstr>
  </property>
  <property fmtid="{D5CDD505-2E9C-101B-9397-08002B2CF9AE}" pid="4" name="LastSaved">
    <vt:filetime>2018-06-21T00:00:00Z</vt:filetime>
  </property>
</Properties>
</file>