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9"/>
        </w:rPr>
      </w:pPr>
      <w:r>
        <w:rPr/>
        <w:pict>
          <v:group style="position:absolute;margin-left:-.0002pt;margin-top:.000015pt;width:595.3pt;height:841.9pt;mso-position-horizontal-relative:page;mso-position-vertical-relative:page;z-index:-36616" coordorigin="0,0" coordsize="11906,16838">
            <v:shape style="position:absolute;left:0;top:824;width:11906;height:11210" type="#_x0000_t75" stroked="false">
              <v:imagedata r:id="rId5" o:title=""/>
            </v:shape>
            <v:shape style="position:absolute;left:0;top:0;width:11906;height:1858" type="#_x0000_t75" stroked="false">
              <v:imagedata r:id="rId6" o:title=""/>
            </v:shape>
            <v:shape style="position:absolute;left:-1;top:0;width:11906;height:1534" coordorigin="0,0" coordsize="11906,1534" path="m11906,0l0,0,0,1534,5714,1534,5785,1526,5841,1505,5888,1471,5930,1425,6236,1051,6268,1017,6306,991,6350,975,6399,969,11906,969,11906,0xe" filled="true" fillcolor="#ffffff" stroked="false">
              <v:path arrowok="t"/>
              <v:fill type="solid"/>
            </v:shape>
            <v:shape style="position:absolute;left:0;top:9526;width:11906;height:7311" type="#_x0000_t75" stroked="false">
              <v:imagedata r:id="rId7" o:title=""/>
            </v:shape>
            <v:shape style="position:absolute;left:122;top:10207;width:11642;height:6326" coordorigin="122,10207" coordsize="11642,6326" path="m5850,10207l122,10207,122,16532,11764,16532,11764,11833,7823,11833,7742,11827,7664,11811,7591,11785,7522,11749,7459,11706,7403,11654,7354,11596,7354,11596,6474,10520,6420,10458,6366,10401,6310,10352,6250,10309,6185,10273,6114,10245,6036,10224,5948,10211,5850,10207xm7354,11596l7354,11596,7354,11596,7354,11596xe" filled="true" fillcolor="#ffffff" stroked="false">
              <v:path arrowok="t"/>
              <v:fill type="solid"/>
            </v:shape>
            <v:shape style="position:absolute;left:119;top:13256;width:11672;height:3348" coordorigin="119,13257" coordsize="11672,3348" path="m409,13257l119,13257,119,16605,11790,16605,11790,13894,1182,13894,1127,13887,1077,13868,1034,13839,998,13801,653,13379,606,13328,553,13289,489,13265,409,13257xe" filled="true" fillcolor="#542785" stroked="false">
              <v:path arrowok="t"/>
              <v:fill type="solid"/>
            </v:shape>
            <v:shape style="position:absolute;left:119;top:13256;width:11672;height:3348" type="#_x0000_t75" stroked="false">
              <v:imagedata r:id="rId8" o:title=""/>
            </v:shape>
            <v:shape style="position:absolute;left:2046;top:746;width:1979;height:146" type="#_x0000_t75" stroked="false">
              <v:imagedata r:id="rId9" o:title=""/>
            </v:shape>
            <v:shape style="position:absolute;left:925;top:515;width:1026;height:752" type="#_x0000_t75" stroked="false">
              <v:imagedata r:id="rId10" o:title=""/>
            </v:shape>
            <v:shape style="position:absolute;left:2046;top:984;width:3132;height:261" type="#_x0000_t75" stroked="false">
              <v:imagedata r:id="rId11" o:title=""/>
            </v:shape>
            <v:shape style="position:absolute;left:0;top:0;width:11906;height:16838" coordorigin="0,0" coordsize="11906,16838" path="m11906,0l11565,0,11565,16187,10895,16187,10620,15912,10345,16187,10344,16187,10344,15560,9940,15560,9940,16187,9879,16187,9879,15907,9476,15907,9476,16187,340,16187,340,0,0,0,0,16187,0,16838,11906,16838,11906,16187,11906,0e" filled="true" fillcolor="#ffffff" stroked="false">
              <v:path arrowok="t"/>
              <v:fill type="solid"/>
            </v:shape>
            <v:shape style="position:absolute;left:9985;top:12430;width:1307;height:1193" type="#_x0000_t75" stroked="false">
              <v:imagedata r:id="rId12" o:title=""/>
            </v:shape>
            <w10:wrap type="none"/>
          </v:group>
        </w:pict>
      </w:r>
    </w:p>
    <w:p>
      <w:pPr>
        <w:spacing w:before="131"/>
        <w:ind w:left="973" w:right="0" w:firstLine="0"/>
        <w:jc w:val="left"/>
        <w:rPr>
          <w:rFonts w:ascii="Arial"/>
          <w:sz w:val="82"/>
        </w:rPr>
      </w:pPr>
      <w:r>
        <w:rPr>
          <w:rFonts w:ascii="Arial"/>
          <w:b/>
          <w:color w:val="FFFFFF"/>
          <w:w w:val="85"/>
          <w:sz w:val="82"/>
        </w:rPr>
        <w:t>ASEA</w:t>
      </w:r>
      <w:r>
        <w:rPr>
          <w:rFonts w:ascii="Arial"/>
          <w:color w:val="FFFFFF"/>
          <w:w w:val="85"/>
          <w:sz w:val="82"/>
        </w:rPr>
        <w:t>REPORTS</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19"/>
        </w:rPr>
      </w:pPr>
    </w:p>
    <w:p>
      <w:pPr>
        <w:spacing w:line="228" w:lineRule="auto" w:before="117"/>
        <w:ind w:left="964" w:right="5058" w:firstLine="0"/>
        <w:jc w:val="left"/>
        <w:rPr>
          <w:rFonts w:ascii="Arial"/>
          <w:sz w:val="46"/>
        </w:rPr>
      </w:pPr>
      <w:r>
        <w:rPr>
          <w:rFonts w:ascii="Arial"/>
          <w:color w:val="231F20"/>
          <w:w w:val="85"/>
          <w:sz w:val="46"/>
        </w:rPr>
        <w:t>Barriers,</w:t>
      </w:r>
      <w:r>
        <w:rPr>
          <w:rFonts w:ascii="Arial"/>
          <w:color w:val="231F20"/>
          <w:spacing w:val="-76"/>
          <w:w w:val="85"/>
          <w:sz w:val="46"/>
        </w:rPr>
        <w:t> </w:t>
      </w:r>
      <w:r>
        <w:rPr>
          <w:rFonts w:ascii="Arial"/>
          <w:color w:val="231F20"/>
          <w:w w:val="85"/>
          <w:sz w:val="46"/>
        </w:rPr>
        <w:t>motivations</w:t>
      </w:r>
      <w:r>
        <w:rPr>
          <w:rFonts w:ascii="Arial"/>
          <w:color w:val="231F20"/>
          <w:spacing w:val="-70"/>
          <w:w w:val="85"/>
          <w:sz w:val="46"/>
        </w:rPr>
        <w:t> </w:t>
      </w:r>
      <w:r>
        <w:rPr>
          <w:rFonts w:ascii="Arial"/>
          <w:color w:val="231F20"/>
          <w:w w:val="85"/>
          <w:sz w:val="46"/>
        </w:rPr>
        <w:t>and</w:t>
      </w:r>
      <w:r>
        <w:rPr>
          <w:rFonts w:ascii="Arial"/>
          <w:color w:val="231F20"/>
          <w:spacing w:val="-70"/>
          <w:w w:val="85"/>
          <w:sz w:val="46"/>
        </w:rPr>
        <w:t> </w:t>
      </w:r>
      <w:r>
        <w:rPr>
          <w:rFonts w:ascii="Arial"/>
          <w:color w:val="231F20"/>
          <w:w w:val="85"/>
          <w:sz w:val="46"/>
        </w:rPr>
        <w:t>options </w:t>
      </w:r>
      <w:r>
        <w:rPr>
          <w:rFonts w:ascii="Arial"/>
          <w:color w:val="231F20"/>
          <w:w w:val="80"/>
          <w:sz w:val="46"/>
        </w:rPr>
        <w:t>for increasing asbestos removal in</w:t>
      </w:r>
    </w:p>
    <w:p>
      <w:pPr>
        <w:spacing w:line="502" w:lineRule="exact" w:before="0"/>
        <w:ind w:left="964" w:right="0" w:firstLine="0"/>
        <w:jc w:val="left"/>
        <w:rPr>
          <w:rFonts w:ascii="Arial"/>
          <w:sz w:val="46"/>
        </w:rPr>
      </w:pPr>
      <w:r>
        <w:rPr>
          <w:rFonts w:ascii="Arial"/>
          <w:color w:val="231F20"/>
          <w:w w:val="90"/>
          <w:sz w:val="46"/>
        </w:rPr>
        <w:t>the residential and commercial</w:t>
      </w:r>
      <w:r>
        <w:rPr>
          <w:rFonts w:ascii="Arial"/>
          <w:color w:val="231F20"/>
          <w:spacing w:val="-86"/>
          <w:w w:val="90"/>
          <w:sz w:val="46"/>
        </w:rPr>
        <w:t> </w:t>
      </w:r>
      <w:r>
        <w:rPr>
          <w:rFonts w:ascii="Arial"/>
          <w:color w:val="231F20"/>
          <w:w w:val="90"/>
          <w:sz w:val="46"/>
        </w:rPr>
        <w:t>sectors</w:t>
      </w:r>
    </w:p>
    <w:p>
      <w:pPr>
        <w:spacing w:before="157"/>
        <w:ind w:left="964" w:right="0" w:firstLine="0"/>
        <w:jc w:val="left"/>
        <w:rPr>
          <w:rFonts w:ascii="Arial"/>
          <w:sz w:val="24"/>
        </w:rPr>
      </w:pPr>
      <w:r>
        <w:rPr>
          <w:rFonts w:ascii="Arial"/>
          <w:color w:val="6D6E71"/>
          <w:w w:val="85"/>
          <w:sz w:val="24"/>
        </w:rPr>
        <w:t>EXECUTIVE SUMMARY</w:t>
      </w:r>
    </w:p>
    <w:p>
      <w:pPr>
        <w:pStyle w:val="BodyText"/>
        <w:rPr>
          <w:rFonts w:ascii="Arial"/>
          <w:sz w:val="26"/>
        </w:rPr>
      </w:pPr>
    </w:p>
    <w:p>
      <w:pPr>
        <w:pStyle w:val="BodyText"/>
        <w:rPr>
          <w:rFonts w:ascii="Arial"/>
          <w:sz w:val="26"/>
        </w:rPr>
      </w:pPr>
    </w:p>
    <w:p>
      <w:pPr>
        <w:pStyle w:val="BodyText"/>
        <w:spacing w:before="207"/>
        <w:ind w:left="6733"/>
        <w:rPr>
          <w:rFonts w:ascii="Arial"/>
        </w:rPr>
      </w:pPr>
      <w:r>
        <w:rPr>
          <w:rFonts w:ascii="Arial"/>
          <w:color w:val="231F20"/>
          <w:w w:val="90"/>
        </w:rPr>
        <w:t>As prepared by Ipsos Social Research Institute</w:t>
      </w:r>
    </w:p>
    <w:p>
      <w:pPr>
        <w:spacing w:after="0"/>
        <w:rPr>
          <w:rFonts w:ascii="Arial"/>
        </w:rPr>
        <w:sectPr>
          <w:type w:val="continuous"/>
          <w:pgSz w:w="11910" w:h="16840"/>
          <w:pgMar w:top="1580" w:bottom="280" w:left="0" w:right="0"/>
        </w:sectPr>
      </w:pPr>
    </w:p>
    <w:p>
      <w:pPr>
        <w:pStyle w:val="Heading1"/>
      </w:pPr>
      <w:r>
        <w:rPr/>
        <w:pict>
          <v:rect style="position:absolute;margin-left:0pt;margin-top:58.181812pt;width:595.276pt;height:7.387974pt;mso-position-horizontal-relative:page;mso-position-vertical-relative:paragraph;z-index:1096" filled="true" fillcolor="#000000" stroked="false">
            <v:fill opacity="49152f" type="solid"/>
            <w10:wrap type="none"/>
          </v:rect>
        </w:pict>
      </w:r>
      <w:r>
        <w:rPr/>
        <w:pict>
          <v:shape style="position:absolute;margin-left:56.693401pt;margin-top:.071813pt;width:21.95pt;height:38.35pt;mso-position-horizontal-relative:page;mso-position-vertical-relative:paragraph;z-index:1120" coordorigin="1134,1" coordsize="439,767" path="m1189,1l1135,56,1463,384,1134,713,1189,768,1572,384,1189,1xe" filled="true" fillcolor="#d71920" stroked="false">
            <v:path arrowok="t"/>
            <v:fill type="solid"/>
            <w10:wrap type="none"/>
          </v:shape>
        </w:pict>
      </w:r>
      <w:r>
        <w:rPr>
          <w:color w:val="1C75BC"/>
          <w:w w:val="80"/>
        </w:rPr>
        <w:t>EXECUTIVE SUMMARY</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15"/>
        </w:rPr>
      </w:pPr>
      <w:r>
        <w:rPr/>
        <w:pict>
          <v:group style="position:absolute;margin-left:85.039001pt;margin-top:10.750227pt;width:369.95pt;height:255.15pt;mso-position-horizontal-relative:page;mso-position-vertical-relative:paragraph;z-index:1072;mso-wrap-distance-left:0;mso-wrap-distance-right:0" coordorigin="1701,215" coordsize="7399,5103">
            <v:rect style="position:absolute;left:1700;top:215;width:7399;height:5103" filled="true" fillcolor="#1c75bc" stroked="false">
              <v:fill opacity="9830f" type="solid"/>
            </v:rect>
            <v:shape style="position:absolute;left:1955;top:1856;width:114;height:176" type="#_x0000_t75" stroked="false">
              <v:imagedata r:id="rId13" o:title=""/>
            </v:shape>
            <v:shape style="position:absolute;left:1955;top:2246;width:114;height:176" type="#_x0000_t75" stroked="false">
              <v:imagedata r:id="rId13" o:title=""/>
            </v:shape>
            <v:shape style="position:absolute;left:1955;top:2896;width:114;height:176" type="#_x0000_t75" stroked="false">
              <v:imagedata r:id="rId13" o:title=""/>
            </v:shape>
            <v:shape style="position:absolute;left:1955;top:3286;width:114;height:176" type="#_x0000_t75" stroked="false">
              <v:imagedata r:id="rId13" o:title=""/>
            </v:shape>
            <v:shape style="position:absolute;left:1955;top:3936;width:114;height:176" type="#_x0000_t75" stroked="false">
              <v:imagedata r:id="rId14" o:title=""/>
            </v:shape>
            <v:shape style="position:absolute;left:1955;top:4586;width:114;height:176" type="#_x0000_t75" stroked="false">
              <v:imagedata r:id="rId13" o:title=""/>
            </v:shape>
            <v:shapetype id="_x0000_t202" o:spt="202" coordsize="21600,21600" path="m,l,21600r21600,l21600,xe">
              <v:stroke joinstyle="miter"/>
              <v:path gradientshapeok="t" o:connecttype="rect"/>
            </v:shapetype>
            <v:shape style="position:absolute;left:1700;top:215;width:7399;height:5103" type="#_x0000_t202" filled="false" stroked="false">
              <v:textbox inset="0,0,0,0">
                <w:txbxContent>
                  <w:p>
                    <w:pPr>
                      <w:spacing w:line="240" w:lineRule="auto" w:before="4"/>
                      <w:rPr>
                        <w:rFonts w:ascii="Arial"/>
                        <w:sz w:val="26"/>
                      </w:rPr>
                    </w:pPr>
                  </w:p>
                  <w:p>
                    <w:pPr>
                      <w:spacing w:line="283" w:lineRule="auto" w:before="0"/>
                      <w:ind w:left="255" w:right="332" w:firstLine="0"/>
                      <w:jc w:val="both"/>
                      <w:rPr>
                        <w:sz w:val="18"/>
                      </w:rPr>
                    </w:pPr>
                    <w:r>
                      <w:rPr>
                        <w:sz w:val="18"/>
                      </w:rPr>
                      <w:t>This</w:t>
                    </w:r>
                    <w:r>
                      <w:rPr>
                        <w:spacing w:val="-11"/>
                        <w:sz w:val="18"/>
                      </w:rPr>
                      <w:t> </w:t>
                    </w:r>
                    <w:r>
                      <w:rPr>
                        <w:sz w:val="18"/>
                      </w:rPr>
                      <w:t>executive</w:t>
                    </w:r>
                    <w:r>
                      <w:rPr>
                        <w:spacing w:val="-11"/>
                        <w:sz w:val="18"/>
                      </w:rPr>
                      <w:t> </w:t>
                    </w:r>
                    <w:r>
                      <w:rPr>
                        <w:sz w:val="18"/>
                      </w:rPr>
                      <w:t>summary</w:t>
                    </w:r>
                    <w:r>
                      <w:rPr>
                        <w:spacing w:val="-11"/>
                        <w:sz w:val="18"/>
                      </w:rPr>
                      <w:t> </w:t>
                    </w:r>
                    <w:r>
                      <w:rPr>
                        <w:sz w:val="18"/>
                      </w:rPr>
                      <w:t>provides</w:t>
                    </w:r>
                    <w:r>
                      <w:rPr>
                        <w:spacing w:val="-11"/>
                        <w:sz w:val="18"/>
                      </w:rPr>
                      <w:t> </w:t>
                    </w:r>
                    <w:r>
                      <w:rPr>
                        <w:sz w:val="18"/>
                      </w:rPr>
                      <w:t>an</w:t>
                    </w:r>
                    <w:r>
                      <w:rPr>
                        <w:spacing w:val="-11"/>
                        <w:sz w:val="18"/>
                      </w:rPr>
                      <w:t> </w:t>
                    </w:r>
                    <w:r>
                      <w:rPr>
                        <w:sz w:val="18"/>
                      </w:rPr>
                      <w:t>overview</w:t>
                    </w:r>
                    <w:r>
                      <w:rPr>
                        <w:spacing w:val="-11"/>
                        <w:sz w:val="18"/>
                      </w:rPr>
                      <w:t> </w:t>
                    </w:r>
                    <w:r>
                      <w:rPr>
                        <w:sz w:val="18"/>
                      </w:rPr>
                      <w:t>of</w:t>
                    </w:r>
                    <w:r>
                      <w:rPr>
                        <w:spacing w:val="-11"/>
                        <w:sz w:val="18"/>
                      </w:rPr>
                      <w:t> </w:t>
                    </w:r>
                    <w:r>
                      <w:rPr>
                        <w:sz w:val="18"/>
                      </w:rPr>
                      <w:t>the</w:t>
                    </w:r>
                    <w:r>
                      <w:rPr>
                        <w:spacing w:val="-11"/>
                        <w:sz w:val="18"/>
                      </w:rPr>
                      <w:t> </w:t>
                    </w:r>
                    <w:r>
                      <w:rPr>
                        <w:sz w:val="18"/>
                      </w:rPr>
                      <w:t>findings</w:t>
                    </w:r>
                    <w:r>
                      <w:rPr>
                        <w:spacing w:val="-11"/>
                        <w:sz w:val="18"/>
                      </w:rPr>
                      <w:t> </w:t>
                    </w:r>
                    <w:r>
                      <w:rPr>
                        <w:sz w:val="18"/>
                      </w:rPr>
                      <w:t>of</w:t>
                    </w:r>
                    <w:r>
                      <w:rPr>
                        <w:spacing w:val="-11"/>
                        <w:sz w:val="18"/>
                      </w:rPr>
                      <w:t> </w:t>
                    </w:r>
                    <w:r>
                      <w:rPr>
                        <w:sz w:val="18"/>
                      </w:rPr>
                      <w:t>research</w:t>
                    </w:r>
                    <w:r>
                      <w:rPr>
                        <w:spacing w:val="-11"/>
                        <w:sz w:val="18"/>
                      </w:rPr>
                      <w:t> </w:t>
                    </w:r>
                    <w:r>
                      <w:rPr>
                        <w:sz w:val="18"/>
                      </w:rPr>
                      <w:t>commissioned</w:t>
                    </w:r>
                    <w:r>
                      <w:rPr>
                        <w:spacing w:val="-11"/>
                        <w:sz w:val="18"/>
                      </w:rPr>
                      <w:t> </w:t>
                    </w:r>
                    <w:r>
                      <w:rPr>
                        <w:sz w:val="18"/>
                      </w:rPr>
                      <w:t>by</w:t>
                    </w:r>
                    <w:r>
                      <w:rPr>
                        <w:spacing w:val="-11"/>
                        <w:sz w:val="18"/>
                      </w:rPr>
                      <w:t> </w:t>
                    </w:r>
                    <w:r>
                      <w:rPr>
                        <w:sz w:val="18"/>
                      </w:rPr>
                      <w:t>the Asbestos</w:t>
                    </w:r>
                    <w:r>
                      <w:rPr>
                        <w:spacing w:val="-13"/>
                        <w:sz w:val="18"/>
                      </w:rPr>
                      <w:t> </w:t>
                    </w:r>
                    <w:r>
                      <w:rPr>
                        <w:sz w:val="18"/>
                      </w:rPr>
                      <w:t>Safety</w:t>
                    </w:r>
                    <w:r>
                      <w:rPr>
                        <w:spacing w:val="-13"/>
                        <w:sz w:val="18"/>
                      </w:rPr>
                      <w:t> </w:t>
                    </w:r>
                    <w:r>
                      <w:rPr>
                        <w:sz w:val="18"/>
                      </w:rPr>
                      <w:t>and</w:t>
                    </w:r>
                    <w:r>
                      <w:rPr>
                        <w:spacing w:val="-13"/>
                        <w:sz w:val="18"/>
                      </w:rPr>
                      <w:t> </w:t>
                    </w:r>
                    <w:r>
                      <w:rPr>
                        <w:sz w:val="18"/>
                      </w:rPr>
                      <w:t>Eradication</w:t>
                    </w:r>
                    <w:r>
                      <w:rPr>
                        <w:spacing w:val="-13"/>
                        <w:sz w:val="18"/>
                      </w:rPr>
                      <w:t> </w:t>
                    </w:r>
                    <w:r>
                      <w:rPr>
                        <w:sz w:val="18"/>
                      </w:rPr>
                      <w:t>Agency</w:t>
                    </w:r>
                    <w:r>
                      <w:rPr>
                        <w:spacing w:val="-13"/>
                        <w:sz w:val="18"/>
                      </w:rPr>
                      <w:t> </w:t>
                    </w:r>
                    <w:r>
                      <w:rPr>
                        <w:sz w:val="18"/>
                      </w:rPr>
                      <w:t>(ASEA)</w:t>
                    </w:r>
                    <w:r>
                      <w:rPr>
                        <w:spacing w:val="-13"/>
                        <w:sz w:val="18"/>
                      </w:rPr>
                      <w:t> </w:t>
                    </w:r>
                    <w:r>
                      <w:rPr>
                        <w:sz w:val="18"/>
                      </w:rPr>
                      <w:t>to</w:t>
                    </w:r>
                    <w:r>
                      <w:rPr>
                        <w:spacing w:val="-13"/>
                        <w:sz w:val="18"/>
                      </w:rPr>
                      <w:t> </w:t>
                    </w:r>
                    <w:r>
                      <w:rPr>
                        <w:sz w:val="18"/>
                      </w:rPr>
                      <w:t>understand</w:t>
                    </w:r>
                    <w:r>
                      <w:rPr>
                        <w:spacing w:val="-13"/>
                        <w:sz w:val="18"/>
                      </w:rPr>
                      <w:t> </w:t>
                    </w:r>
                    <w:r>
                      <w:rPr>
                        <w:sz w:val="18"/>
                      </w:rPr>
                      <w:t>the</w:t>
                    </w:r>
                    <w:r>
                      <w:rPr>
                        <w:spacing w:val="-13"/>
                        <w:sz w:val="18"/>
                      </w:rPr>
                      <w:t> </w:t>
                    </w:r>
                    <w:r>
                      <w:rPr>
                        <w:sz w:val="18"/>
                      </w:rPr>
                      <w:t>barriers</w:t>
                    </w:r>
                    <w:r>
                      <w:rPr>
                        <w:spacing w:val="-13"/>
                        <w:sz w:val="18"/>
                      </w:rPr>
                      <w:t> </w:t>
                    </w:r>
                    <w:r>
                      <w:rPr>
                        <w:sz w:val="18"/>
                      </w:rPr>
                      <w:t>and</w:t>
                    </w:r>
                    <w:r>
                      <w:rPr>
                        <w:spacing w:val="-13"/>
                        <w:sz w:val="18"/>
                      </w:rPr>
                      <w:t> </w:t>
                    </w:r>
                    <w:r>
                      <w:rPr>
                        <w:sz w:val="18"/>
                      </w:rPr>
                      <w:t>motivations</w:t>
                    </w:r>
                    <w:r>
                      <w:rPr>
                        <w:spacing w:val="-13"/>
                        <w:sz w:val="18"/>
                      </w:rPr>
                      <w:t> </w:t>
                    </w:r>
                    <w:r>
                      <w:rPr>
                        <w:sz w:val="18"/>
                      </w:rPr>
                      <w:t>for asbestos</w:t>
                    </w:r>
                    <w:r>
                      <w:rPr>
                        <w:spacing w:val="-6"/>
                        <w:sz w:val="18"/>
                      </w:rPr>
                      <w:t> </w:t>
                    </w:r>
                    <w:r>
                      <w:rPr>
                        <w:sz w:val="18"/>
                      </w:rPr>
                      <w:t>removal</w:t>
                    </w:r>
                    <w:r>
                      <w:rPr>
                        <w:spacing w:val="-6"/>
                        <w:sz w:val="18"/>
                      </w:rPr>
                      <w:t> </w:t>
                    </w:r>
                    <w:r>
                      <w:rPr>
                        <w:sz w:val="18"/>
                      </w:rPr>
                      <w:t>in</w:t>
                    </w:r>
                    <w:r>
                      <w:rPr>
                        <w:spacing w:val="-6"/>
                        <w:sz w:val="18"/>
                      </w:rPr>
                      <w:t> </w:t>
                    </w:r>
                    <w:r>
                      <w:rPr>
                        <w:sz w:val="18"/>
                      </w:rPr>
                      <w:t>the</w:t>
                    </w:r>
                    <w:r>
                      <w:rPr>
                        <w:spacing w:val="-6"/>
                        <w:sz w:val="18"/>
                      </w:rPr>
                      <w:t> </w:t>
                    </w:r>
                    <w:r>
                      <w:rPr>
                        <w:sz w:val="18"/>
                      </w:rPr>
                      <w:t>residential</w:t>
                    </w:r>
                    <w:r>
                      <w:rPr>
                        <w:spacing w:val="-6"/>
                        <w:sz w:val="18"/>
                      </w:rPr>
                      <w:t> </w:t>
                    </w:r>
                    <w:r>
                      <w:rPr>
                        <w:sz w:val="18"/>
                      </w:rPr>
                      <w:t>and</w:t>
                    </w:r>
                    <w:r>
                      <w:rPr>
                        <w:spacing w:val="-6"/>
                        <w:sz w:val="18"/>
                      </w:rPr>
                      <w:t> </w:t>
                    </w:r>
                    <w:r>
                      <w:rPr>
                        <w:sz w:val="18"/>
                      </w:rPr>
                      <w:t>commercial</w:t>
                    </w:r>
                    <w:r>
                      <w:rPr>
                        <w:spacing w:val="-6"/>
                        <w:sz w:val="18"/>
                      </w:rPr>
                      <w:t> </w:t>
                    </w:r>
                    <w:r>
                      <w:rPr>
                        <w:sz w:val="18"/>
                      </w:rPr>
                      <w:t>sectors</w:t>
                    </w:r>
                    <w:r>
                      <w:rPr>
                        <w:spacing w:val="-6"/>
                        <w:sz w:val="18"/>
                      </w:rPr>
                      <w:t> </w:t>
                    </w:r>
                    <w:r>
                      <w:rPr>
                        <w:sz w:val="18"/>
                      </w:rPr>
                      <w:t>in</w:t>
                    </w:r>
                    <w:r>
                      <w:rPr>
                        <w:spacing w:val="-6"/>
                        <w:sz w:val="18"/>
                      </w:rPr>
                      <w:t> </w:t>
                    </w:r>
                    <w:r>
                      <w:rPr>
                        <w:sz w:val="18"/>
                      </w:rPr>
                      <w:t>Australia.</w:t>
                    </w:r>
                  </w:p>
                  <w:p>
                    <w:pPr>
                      <w:spacing w:line="427" w:lineRule="auto" w:before="133"/>
                      <w:ind w:left="538" w:right="219" w:hanging="284"/>
                      <w:jc w:val="left"/>
                      <w:rPr>
                        <w:sz w:val="18"/>
                      </w:rPr>
                    </w:pPr>
                    <w:r>
                      <w:rPr>
                        <w:sz w:val="18"/>
                      </w:rPr>
                      <w:t>Six</w:t>
                    </w:r>
                    <w:r>
                      <w:rPr>
                        <w:spacing w:val="-15"/>
                        <w:sz w:val="18"/>
                      </w:rPr>
                      <w:t> </w:t>
                    </w:r>
                    <w:r>
                      <w:rPr>
                        <w:sz w:val="18"/>
                      </w:rPr>
                      <w:t>conclusions</w:t>
                    </w:r>
                    <w:r>
                      <w:rPr>
                        <w:spacing w:val="-15"/>
                        <w:sz w:val="18"/>
                      </w:rPr>
                      <w:t> </w:t>
                    </w:r>
                    <w:r>
                      <w:rPr>
                        <w:sz w:val="18"/>
                      </w:rPr>
                      <w:t>relating</w:t>
                    </w:r>
                    <w:r>
                      <w:rPr>
                        <w:spacing w:val="-15"/>
                        <w:sz w:val="18"/>
                      </w:rPr>
                      <w:t> </w:t>
                    </w:r>
                    <w:r>
                      <w:rPr>
                        <w:sz w:val="18"/>
                      </w:rPr>
                      <w:t>to</w:t>
                    </w:r>
                    <w:r>
                      <w:rPr>
                        <w:spacing w:val="-15"/>
                        <w:sz w:val="18"/>
                      </w:rPr>
                      <w:t> </w:t>
                    </w:r>
                    <w:r>
                      <w:rPr>
                        <w:sz w:val="18"/>
                      </w:rPr>
                      <w:t>homeowners</w:t>
                    </w:r>
                    <w:r>
                      <w:rPr>
                        <w:spacing w:val="-15"/>
                        <w:sz w:val="18"/>
                      </w:rPr>
                      <w:t> </w:t>
                    </w:r>
                    <w:r>
                      <w:rPr>
                        <w:sz w:val="18"/>
                      </w:rPr>
                      <w:t>are</w:t>
                    </w:r>
                    <w:r>
                      <w:rPr>
                        <w:spacing w:val="-15"/>
                        <w:sz w:val="18"/>
                      </w:rPr>
                      <w:t> </w:t>
                    </w:r>
                    <w:r>
                      <w:rPr>
                        <w:sz w:val="18"/>
                      </w:rPr>
                      <w:t>reached</w:t>
                    </w:r>
                    <w:r>
                      <w:rPr>
                        <w:spacing w:val="-15"/>
                        <w:sz w:val="18"/>
                      </w:rPr>
                      <w:t> </w:t>
                    </w:r>
                    <w:r>
                      <w:rPr>
                        <w:sz w:val="18"/>
                      </w:rPr>
                      <w:t>based</w:t>
                    </w:r>
                    <w:r>
                      <w:rPr>
                        <w:spacing w:val="-15"/>
                        <w:sz w:val="18"/>
                      </w:rPr>
                      <w:t> </w:t>
                    </w:r>
                    <w:r>
                      <w:rPr>
                        <w:sz w:val="18"/>
                      </w:rPr>
                      <w:t>on</w:t>
                    </w:r>
                    <w:r>
                      <w:rPr>
                        <w:spacing w:val="-15"/>
                        <w:sz w:val="18"/>
                      </w:rPr>
                      <w:t> </w:t>
                    </w:r>
                    <w:r>
                      <w:rPr>
                        <w:sz w:val="18"/>
                      </w:rPr>
                      <w:t>the</w:t>
                    </w:r>
                    <w:r>
                      <w:rPr>
                        <w:spacing w:val="-15"/>
                        <w:sz w:val="18"/>
                      </w:rPr>
                      <w:t> </w:t>
                    </w:r>
                    <w:r>
                      <w:rPr>
                        <w:sz w:val="18"/>
                      </w:rPr>
                      <w:t>findings.</w:t>
                    </w:r>
                    <w:r>
                      <w:rPr>
                        <w:spacing w:val="-15"/>
                        <w:sz w:val="18"/>
                      </w:rPr>
                      <w:t> </w:t>
                    </w:r>
                    <w:r>
                      <w:rPr>
                        <w:sz w:val="18"/>
                      </w:rPr>
                      <w:t>These,</w:t>
                    </w:r>
                    <w:r>
                      <w:rPr>
                        <w:spacing w:val="-15"/>
                        <w:sz w:val="18"/>
                      </w:rPr>
                      <w:t> </w:t>
                    </w:r>
                    <w:r>
                      <w:rPr>
                        <w:sz w:val="18"/>
                      </w:rPr>
                      <w:t>in</w:t>
                    </w:r>
                    <w:r>
                      <w:rPr>
                        <w:spacing w:val="-15"/>
                        <w:sz w:val="18"/>
                      </w:rPr>
                      <w:t> </w:t>
                    </w:r>
                    <w:r>
                      <w:rPr>
                        <w:sz w:val="18"/>
                      </w:rPr>
                      <w:t>brief,</w:t>
                    </w:r>
                    <w:r>
                      <w:rPr>
                        <w:spacing w:val="-15"/>
                        <w:sz w:val="18"/>
                      </w:rPr>
                      <w:t> </w:t>
                    </w:r>
                    <w:r>
                      <w:rPr>
                        <w:sz w:val="18"/>
                      </w:rPr>
                      <w:t>are: Cost</w:t>
                    </w:r>
                    <w:r>
                      <w:rPr>
                        <w:spacing w:val="-4"/>
                        <w:sz w:val="18"/>
                      </w:rPr>
                      <w:t> </w:t>
                    </w:r>
                    <w:r>
                      <w:rPr>
                        <w:sz w:val="18"/>
                      </w:rPr>
                      <w:t>is</w:t>
                    </w:r>
                    <w:r>
                      <w:rPr>
                        <w:spacing w:val="-4"/>
                        <w:sz w:val="18"/>
                      </w:rPr>
                      <w:t> </w:t>
                    </w:r>
                    <w:r>
                      <w:rPr>
                        <w:sz w:val="18"/>
                      </w:rPr>
                      <w:t>the</w:t>
                    </w:r>
                    <w:r>
                      <w:rPr>
                        <w:spacing w:val="-4"/>
                        <w:sz w:val="18"/>
                      </w:rPr>
                      <w:t> </w:t>
                    </w:r>
                    <w:r>
                      <w:rPr>
                        <w:sz w:val="18"/>
                      </w:rPr>
                      <w:t>main</w:t>
                    </w:r>
                    <w:r>
                      <w:rPr>
                        <w:spacing w:val="-4"/>
                        <w:sz w:val="18"/>
                      </w:rPr>
                      <w:t> </w:t>
                    </w:r>
                    <w:r>
                      <w:rPr>
                        <w:sz w:val="18"/>
                      </w:rPr>
                      <w:t>factor</w:t>
                    </w:r>
                    <w:r>
                      <w:rPr>
                        <w:spacing w:val="-4"/>
                        <w:sz w:val="18"/>
                      </w:rPr>
                      <w:t> </w:t>
                    </w:r>
                    <w:r>
                      <w:rPr>
                        <w:sz w:val="18"/>
                      </w:rPr>
                      <w:t>in</w:t>
                    </w:r>
                    <w:r>
                      <w:rPr>
                        <w:spacing w:val="-4"/>
                        <w:sz w:val="18"/>
                      </w:rPr>
                      <w:t> </w:t>
                    </w:r>
                    <w:r>
                      <w:rPr>
                        <w:sz w:val="18"/>
                      </w:rPr>
                      <w:t>decisions</w:t>
                    </w:r>
                    <w:r>
                      <w:rPr>
                        <w:spacing w:val="-4"/>
                        <w:sz w:val="18"/>
                      </w:rPr>
                      <w:t> </w:t>
                    </w:r>
                    <w:r>
                      <w:rPr>
                        <w:sz w:val="18"/>
                      </w:rPr>
                      <w:t>relating</w:t>
                    </w:r>
                    <w:r>
                      <w:rPr>
                        <w:spacing w:val="-4"/>
                        <w:sz w:val="18"/>
                      </w:rPr>
                      <w:t> </w:t>
                    </w:r>
                    <w:r>
                      <w:rPr>
                        <w:sz w:val="18"/>
                      </w:rPr>
                      <w:t>to</w:t>
                    </w:r>
                    <w:r>
                      <w:rPr>
                        <w:spacing w:val="-4"/>
                        <w:sz w:val="18"/>
                      </w:rPr>
                      <w:t> </w:t>
                    </w:r>
                    <w:r>
                      <w:rPr>
                        <w:sz w:val="18"/>
                      </w:rPr>
                      <w:t>asbestos</w:t>
                    </w:r>
                    <w:r>
                      <w:rPr>
                        <w:spacing w:val="-4"/>
                        <w:sz w:val="18"/>
                      </w:rPr>
                      <w:t> </w:t>
                    </w:r>
                    <w:r>
                      <w:rPr>
                        <w:sz w:val="18"/>
                      </w:rPr>
                      <w:t>removal</w:t>
                    </w:r>
                  </w:p>
                  <w:p>
                    <w:pPr>
                      <w:spacing w:line="283" w:lineRule="auto" w:before="0"/>
                      <w:ind w:left="538" w:right="498" w:firstLine="0"/>
                      <w:jc w:val="left"/>
                      <w:rPr>
                        <w:sz w:val="18"/>
                      </w:rPr>
                    </w:pPr>
                    <w:r>
                      <w:rPr>
                        <w:sz w:val="18"/>
                      </w:rPr>
                      <w:t>Low</w:t>
                    </w:r>
                    <w:r>
                      <w:rPr>
                        <w:spacing w:val="-14"/>
                        <w:sz w:val="18"/>
                      </w:rPr>
                      <w:t> </w:t>
                    </w:r>
                    <w:r>
                      <w:rPr>
                        <w:sz w:val="18"/>
                      </w:rPr>
                      <w:t>levels</w:t>
                    </w:r>
                    <w:r>
                      <w:rPr>
                        <w:spacing w:val="-14"/>
                        <w:sz w:val="18"/>
                      </w:rPr>
                      <w:t> </w:t>
                    </w:r>
                    <w:r>
                      <w:rPr>
                        <w:sz w:val="18"/>
                      </w:rPr>
                      <w:t>of</w:t>
                    </w:r>
                    <w:r>
                      <w:rPr>
                        <w:spacing w:val="-14"/>
                        <w:sz w:val="18"/>
                      </w:rPr>
                      <w:t> </w:t>
                    </w:r>
                    <w:r>
                      <w:rPr>
                        <w:sz w:val="18"/>
                      </w:rPr>
                      <w:t>risk</w:t>
                    </w:r>
                    <w:r>
                      <w:rPr>
                        <w:spacing w:val="-14"/>
                        <w:sz w:val="18"/>
                      </w:rPr>
                      <w:t> </w:t>
                    </w:r>
                    <w:r>
                      <w:rPr>
                        <w:sz w:val="18"/>
                      </w:rPr>
                      <w:t>literacy</w:t>
                    </w:r>
                    <w:r>
                      <w:rPr>
                        <w:spacing w:val="-14"/>
                        <w:sz w:val="18"/>
                      </w:rPr>
                      <w:t> </w:t>
                    </w:r>
                    <w:r>
                      <w:rPr>
                        <w:sz w:val="18"/>
                      </w:rPr>
                      <w:t>relating</w:t>
                    </w:r>
                    <w:r>
                      <w:rPr>
                        <w:spacing w:val="-14"/>
                        <w:sz w:val="18"/>
                      </w:rPr>
                      <w:t> </w:t>
                    </w:r>
                    <w:r>
                      <w:rPr>
                        <w:sz w:val="18"/>
                      </w:rPr>
                      <w:t>to</w:t>
                    </w:r>
                    <w:r>
                      <w:rPr>
                        <w:spacing w:val="-14"/>
                        <w:sz w:val="18"/>
                      </w:rPr>
                      <w:t> </w:t>
                    </w:r>
                    <w:r>
                      <w:rPr>
                        <w:sz w:val="18"/>
                      </w:rPr>
                      <w:t>products</w:t>
                    </w:r>
                    <w:r>
                      <w:rPr>
                        <w:spacing w:val="-14"/>
                        <w:sz w:val="18"/>
                      </w:rPr>
                      <w:t> </w:t>
                    </w:r>
                    <w:r>
                      <w:rPr>
                        <w:sz w:val="18"/>
                      </w:rPr>
                      <w:t>containing</w:t>
                    </w:r>
                    <w:r>
                      <w:rPr>
                        <w:spacing w:val="-14"/>
                        <w:sz w:val="18"/>
                      </w:rPr>
                      <w:t> </w:t>
                    </w:r>
                    <w:r>
                      <w:rPr>
                        <w:sz w:val="18"/>
                      </w:rPr>
                      <w:t>asbestos</w:t>
                    </w:r>
                    <w:r>
                      <w:rPr>
                        <w:spacing w:val="-14"/>
                        <w:sz w:val="18"/>
                      </w:rPr>
                      <w:t> </w:t>
                    </w:r>
                    <w:r>
                      <w:rPr>
                        <w:sz w:val="18"/>
                      </w:rPr>
                      <w:t>is</w:t>
                    </w:r>
                    <w:r>
                      <w:rPr>
                        <w:spacing w:val="-14"/>
                        <w:sz w:val="18"/>
                      </w:rPr>
                      <w:t> </w:t>
                    </w:r>
                    <w:r>
                      <w:rPr>
                        <w:sz w:val="18"/>
                      </w:rPr>
                      <w:t>a</w:t>
                    </w:r>
                    <w:r>
                      <w:rPr>
                        <w:spacing w:val="-14"/>
                        <w:sz w:val="18"/>
                      </w:rPr>
                      <w:t> </w:t>
                    </w:r>
                    <w:r>
                      <w:rPr>
                        <w:sz w:val="18"/>
                      </w:rPr>
                      <w:t>barrier</w:t>
                    </w:r>
                    <w:r>
                      <w:rPr>
                        <w:spacing w:val="-14"/>
                        <w:sz w:val="18"/>
                      </w:rPr>
                      <w:t> </w:t>
                    </w:r>
                    <w:r>
                      <w:rPr>
                        <w:sz w:val="18"/>
                      </w:rPr>
                      <w:t>to</w:t>
                    </w:r>
                    <w:r>
                      <w:rPr>
                        <w:spacing w:val="-14"/>
                        <w:sz w:val="18"/>
                      </w:rPr>
                      <w:t> </w:t>
                    </w:r>
                    <w:r>
                      <w:rPr>
                        <w:sz w:val="18"/>
                      </w:rPr>
                      <w:t>informed decision-making</w:t>
                    </w:r>
                  </w:p>
                  <w:p>
                    <w:pPr>
                      <w:spacing w:before="129"/>
                      <w:ind w:left="538" w:right="0" w:firstLine="0"/>
                      <w:jc w:val="left"/>
                      <w:rPr>
                        <w:sz w:val="18"/>
                      </w:rPr>
                    </w:pPr>
                    <w:r>
                      <w:rPr>
                        <w:sz w:val="18"/>
                      </w:rPr>
                      <w:t>Perceived likelihood of health impacts is associated with likelihood to remove asbestos</w:t>
                    </w:r>
                  </w:p>
                  <w:p>
                    <w:pPr>
                      <w:spacing w:line="283" w:lineRule="auto" w:before="170"/>
                      <w:ind w:left="538" w:right="219" w:firstLine="0"/>
                      <w:jc w:val="left"/>
                      <w:rPr>
                        <w:sz w:val="18"/>
                      </w:rPr>
                    </w:pPr>
                    <w:r>
                      <w:rPr>
                        <w:sz w:val="18"/>
                      </w:rPr>
                      <w:t>Government</w:t>
                    </w:r>
                    <w:r>
                      <w:rPr>
                        <w:spacing w:val="-12"/>
                        <w:sz w:val="18"/>
                      </w:rPr>
                      <w:t> </w:t>
                    </w:r>
                    <w:r>
                      <w:rPr>
                        <w:sz w:val="18"/>
                      </w:rPr>
                      <w:t>initiatives</w:t>
                    </w:r>
                    <w:r>
                      <w:rPr>
                        <w:spacing w:val="-12"/>
                        <w:sz w:val="18"/>
                      </w:rPr>
                      <w:t> </w:t>
                    </w:r>
                    <w:r>
                      <w:rPr>
                        <w:sz w:val="18"/>
                      </w:rPr>
                      <w:t>which</w:t>
                    </w:r>
                    <w:r>
                      <w:rPr>
                        <w:spacing w:val="-12"/>
                        <w:sz w:val="18"/>
                      </w:rPr>
                      <w:t> </w:t>
                    </w:r>
                    <w:r>
                      <w:rPr>
                        <w:sz w:val="18"/>
                      </w:rPr>
                      <w:t>reduce</w:t>
                    </w:r>
                    <w:r>
                      <w:rPr>
                        <w:spacing w:val="-12"/>
                        <w:sz w:val="18"/>
                      </w:rPr>
                      <w:t> </w:t>
                    </w:r>
                    <w:r>
                      <w:rPr>
                        <w:sz w:val="18"/>
                      </w:rPr>
                      <w:t>the</w:t>
                    </w:r>
                    <w:r>
                      <w:rPr>
                        <w:spacing w:val="-12"/>
                        <w:sz w:val="18"/>
                      </w:rPr>
                      <w:t> </w:t>
                    </w:r>
                    <w:r>
                      <w:rPr>
                        <w:sz w:val="18"/>
                      </w:rPr>
                      <w:t>combined</w:t>
                    </w:r>
                    <w:r>
                      <w:rPr>
                        <w:spacing w:val="-12"/>
                        <w:sz w:val="18"/>
                      </w:rPr>
                      <w:t> </w:t>
                    </w:r>
                    <w:r>
                      <w:rPr>
                        <w:sz w:val="18"/>
                      </w:rPr>
                      <w:t>cost</w:t>
                    </w:r>
                    <w:r>
                      <w:rPr>
                        <w:spacing w:val="-12"/>
                        <w:sz w:val="18"/>
                      </w:rPr>
                      <w:t> </w:t>
                    </w:r>
                    <w:r>
                      <w:rPr>
                        <w:sz w:val="18"/>
                      </w:rPr>
                      <w:t>of</w:t>
                    </w:r>
                    <w:r>
                      <w:rPr>
                        <w:spacing w:val="-12"/>
                        <w:sz w:val="18"/>
                      </w:rPr>
                      <w:t> </w:t>
                    </w:r>
                    <w:r>
                      <w:rPr>
                        <w:sz w:val="18"/>
                      </w:rPr>
                      <w:t>removal</w:t>
                    </w:r>
                    <w:r>
                      <w:rPr>
                        <w:spacing w:val="-12"/>
                        <w:sz w:val="18"/>
                      </w:rPr>
                      <w:t> </w:t>
                    </w:r>
                    <w:r>
                      <w:rPr>
                        <w:sz w:val="18"/>
                      </w:rPr>
                      <w:t>and</w:t>
                    </w:r>
                    <w:r>
                      <w:rPr>
                        <w:spacing w:val="-12"/>
                        <w:sz w:val="18"/>
                      </w:rPr>
                      <w:t> </w:t>
                    </w:r>
                    <w:r>
                      <w:rPr>
                        <w:sz w:val="18"/>
                      </w:rPr>
                      <w:t>disposal</w:t>
                    </w:r>
                    <w:r>
                      <w:rPr>
                        <w:spacing w:val="-12"/>
                        <w:sz w:val="18"/>
                      </w:rPr>
                      <w:t> </w:t>
                    </w:r>
                    <w:r>
                      <w:rPr>
                        <w:sz w:val="18"/>
                      </w:rPr>
                      <w:t>are effective</w:t>
                    </w:r>
                  </w:p>
                  <w:p>
                    <w:pPr>
                      <w:spacing w:line="283" w:lineRule="auto" w:before="132"/>
                      <w:ind w:left="538" w:right="219" w:firstLine="0"/>
                      <w:jc w:val="left"/>
                      <w:rPr>
                        <w:sz w:val="18"/>
                      </w:rPr>
                    </w:pPr>
                    <w:r>
                      <w:rPr>
                        <w:sz w:val="18"/>
                      </w:rPr>
                      <w:t>Interest-free</w:t>
                    </w:r>
                    <w:r>
                      <w:rPr>
                        <w:spacing w:val="-17"/>
                        <w:sz w:val="18"/>
                      </w:rPr>
                      <w:t> </w:t>
                    </w:r>
                    <w:r>
                      <w:rPr>
                        <w:sz w:val="18"/>
                      </w:rPr>
                      <w:t>loans</w:t>
                    </w:r>
                    <w:r>
                      <w:rPr>
                        <w:spacing w:val="-17"/>
                        <w:sz w:val="18"/>
                      </w:rPr>
                      <w:t> </w:t>
                    </w:r>
                    <w:r>
                      <w:rPr>
                        <w:sz w:val="18"/>
                      </w:rPr>
                      <w:t>are</w:t>
                    </w:r>
                    <w:r>
                      <w:rPr>
                        <w:spacing w:val="-17"/>
                        <w:sz w:val="18"/>
                      </w:rPr>
                      <w:t> </w:t>
                    </w:r>
                    <w:r>
                      <w:rPr>
                        <w:sz w:val="18"/>
                      </w:rPr>
                      <w:t>an</w:t>
                    </w:r>
                    <w:r>
                      <w:rPr>
                        <w:spacing w:val="-17"/>
                        <w:sz w:val="18"/>
                      </w:rPr>
                      <w:t> </w:t>
                    </w:r>
                    <w:r>
                      <w:rPr>
                        <w:sz w:val="18"/>
                      </w:rPr>
                      <w:t>effective</w:t>
                    </w:r>
                    <w:r>
                      <w:rPr>
                        <w:spacing w:val="-17"/>
                        <w:sz w:val="18"/>
                      </w:rPr>
                      <w:t> </w:t>
                    </w:r>
                    <w:r>
                      <w:rPr>
                        <w:sz w:val="18"/>
                      </w:rPr>
                      <w:t>means</w:t>
                    </w:r>
                    <w:r>
                      <w:rPr>
                        <w:spacing w:val="-17"/>
                        <w:sz w:val="18"/>
                      </w:rPr>
                      <w:t> </w:t>
                    </w:r>
                    <w:r>
                      <w:rPr>
                        <w:sz w:val="18"/>
                      </w:rPr>
                      <w:t>of</w:t>
                    </w:r>
                    <w:r>
                      <w:rPr>
                        <w:spacing w:val="-17"/>
                        <w:sz w:val="18"/>
                      </w:rPr>
                      <w:t> </w:t>
                    </w:r>
                    <w:r>
                      <w:rPr>
                        <w:sz w:val="18"/>
                      </w:rPr>
                      <w:t>increasing</w:t>
                    </w:r>
                    <w:r>
                      <w:rPr>
                        <w:spacing w:val="-17"/>
                        <w:sz w:val="18"/>
                      </w:rPr>
                      <w:t> </w:t>
                    </w:r>
                    <w:r>
                      <w:rPr>
                        <w:sz w:val="18"/>
                      </w:rPr>
                      <w:t>removal,</w:t>
                    </w:r>
                    <w:r>
                      <w:rPr>
                        <w:spacing w:val="-17"/>
                        <w:sz w:val="18"/>
                      </w:rPr>
                      <w:t> </w:t>
                    </w:r>
                    <w:r>
                      <w:rPr>
                        <w:sz w:val="18"/>
                      </w:rPr>
                      <w:t>although</w:t>
                    </w:r>
                    <w:r>
                      <w:rPr>
                        <w:spacing w:val="-17"/>
                        <w:sz w:val="18"/>
                      </w:rPr>
                      <w:t> </w:t>
                    </w:r>
                    <w:r>
                      <w:rPr>
                        <w:sz w:val="18"/>
                      </w:rPr>
                      <w:t>less</w:t>
                    </w:r>
                    <w:r>
                      <w:rPr>
                        <w:spacing w:val="-17"/>
                        <w:sz w:val="18"/>
                      </w:rPr>
                      <w:t> </w:t>
                    </w:r>
                    <w:r>
                      <w:rPr>
                        <w:sz w:val="18"/>
                      </w:rPr>
                      <w:t>so</w:t>
                    </w:r>
                    <w:r>
                      <w:rPr>
                        <w:spacing w:val="-17"/>
                        <w:sz w:val="18"/>
                      </w:rPr>
                      <w:t> </w:t>
                    </w:r>
                    <w:r>
                      <w:rPr>
                        <w:sz w:val="18"/>
                      </w:rPr>
                      <w:t>than interventions that reduce</w:t>
                    </w:r>
                    <w:r>
                      <w:rPr>
                        <w:spacing w:val="-8"/>
                        <w:sz w:val="18"/>
                      </w:rPr>
                      <w:t> </w:t>
                    </w:r>
                    <w:r>
                      <w:rPr>
                        <w:sz w:val="18"/>
                      </w:rPr>
                      <w:t>costs</w:t>
                    </w:r>
                  </w:p>
                  <w:p>
                    <w:pPr>
                      <w:spacing w:line="283" w:lineRule="auto" w:before="131"/>
                      <w:ind w:left="538" w:right="219" w:firstLine="0"/>
                      <w:jc w:val="left"/>
                      <w:rPr>
                        <w:sz w:val="18"/>
                      </w:rPr>
                    </w:pPr>
                    <w:r>
                      <w:rPr>
                        <w:sz w:val="18"/>
                      </w:rPr>
                      <w:t>Renovators</w:t>
                    </w:r>
                    <w:r>
                      <w:rPr>
                        <w:spacing w:val="-18"/>
                        <w:sz w:val="18"/>
                      </w:rPr>
                      <w:t> </w:t>
                    </w:r>
                    <w:r>
                      <w:rPr>
                        <w:sz w:val="18"/>
                      </w:rPr>
                      <w:t>are</w:t>
                    </w:r>
                    <w:r>
                      <w:rPr>
                        <w:spacing w:val="-18"/>
                        <w:sz w:val="18"/>
                      </w:rPr>
                      <w:t> </w:t>
                    </w:r>
                    <w:r>
                      <w:rPr>
                        <w:sz w:val="18"/>
                      </w:rPr>
                      <w:t>more</w:t>
                    </w:r>
                    <w:r>
                      <w:rPr>
                        <w:spacing w:val="-18"/>
                        <w:sz w:val="18"/>
                      </w:rPr>
                      <w:t> </w:t>
                    </w:r>
                    <w:r>
                      <w:rPr>
                        <w:sz w:val="18"/>
                      </w:rPr>
                      <w:t>likely</w:t>
                    </w:r>
                    <w:r>
                      <w:rPr>
                        <w:spacing w:val="-18"/>
                        <w:sz w:val="18"/>
                      </w:rPr>
                      <w:t> </w:t>
                    </w:r>
                    <w:r>
                      <w:rPr>
                        <w:sz w:val="18"/>
                      </w:rPr>
                      <w:t>than</w:t>
                    </w:r>
                    <w:r>
                      <w:rPr>
                        <w:spacing w:val="-18"/>
                        <w:sz w:val="18"/>
                      </w:rPr>
                      <w:t> </w:t>
                    </w:r>
                    <w:r>
                      <w:rPr>
                        <w:sz w:val="18"/>
                      </w:rPr>
                      <w:t>others</w:t>
                    </w:r>
                    <w:r>
                      <w:rPr>
                        <w:spacing w:val="-18"/>
                        <w:sz w:val="18"/>
                      </w:rPr>
                      <w:t> </w:t>
                    </w:r>
                    <w:r>
                      <w:rPr>
                        <w:sz w:val="18"/>
                      </w:rPr>
                      <w:t>to</w:t>
                    </w:r>
                    <w:r>
                      <w:rPr>
                        <w:spacing w:val="-18"/>
                        <w:sz w:val="18"/>
                      </w:rPr>
                      <w:t> </w:t>
                    </w:r>
                    <w:r>
                      <w:rPr>
                        <w:sz w:val="18"/>
                      </w:rPr>
                      <w:t>remove</w:t>
                    </w:r>
                    <w:r>
                      <w:rPr>
                        <w:spacing w:val="-18"/>
                        <w:sz w:val="18"/>
                      </w:rPr>
                      <w:t> </w:t>
                    </w:r>
                    <w:r>
                      <w:rPr>
                        <w:sz w:val="18"/>
                      </w:rPr>
                      <w:t>asbestos,</w:t>
                    </w:r>
                    <w:r>
                      <w:rPr>
                        <w:spacing w:val="-18"/>
                        <w:sz w:val="18"/>
                      </w:rPr>
                      <w:t> </w:t>
                    </w:r>
                    <w:r>
                      <w:rPr>
                        <w:sz w:val="18"/>
                      </w:rPr>
                      <w:t>but</w:t>
                    </w:r>
                    <w:r>
                      <w:rPr>
                        <w:spacing w:val="-18"/>
                        <w:sz w:val="18"/>
                      </w:rPr>
                      <w:t> </w:t>
                    </w:r>
                    <w:r>
                      <w:rPr>
                        <w:sz w:val="18"/>
                      </w:rPr>
                      <w:t>are</w:t>
                    </w:r>
                    <w:r>
                      <w:rPr>
                        <w:spacing w:val="-18"/>
                        <w:sz w:val="18"/>
                      </w:rPr>
                      <w:t> </w:t>
                    </w:r>
                    <w:r>
                      <w:rPr>
                        <w:sz w:val="18"/>
                      </w:rPr>
                      <w:t>limited</w:t>
                    </w:r>
                    <w:r>
                      <w:rPr>
                        <w:spacing w:val="-18"/>
                        <w:sz w:val="18"/>
                      </w:rPr>
                      <w:t> </w:t>
                    </w:r>
                    <w:r>
                      <w:rPr>
                        <w:sz w:val="18"/>
                      </w:rPr>
                      <w:t>in</w:t>
                    </w:r>
                    <w:r>
                      <w:rPr>
                        <w:spacing w:val="-18"/>
                        <w:sz w:val="18"/>
                      </w:rPr>
                      <w:t> </w:t>
                    </w:r>
                    <w:r>
                      <w:rPr>
                        <w:sz w:val="18"/>
                      </w:rPr>
                      <w:t>their information seeking</w:t>
                    </w:r>
                    <w:r>
                      <w:rPr>
                        <w:spacing w:val="-5"/>
                        <w:sz w:val="18"/>
                      </w:rPr>
                      <w:t> </w:t>
                    </w:r>
                    <w:r>
                      <w:rPr>
                        <w:sz w:val="18"/>
                      </w:rPr>
                      <w:t>behaviours</w:t>
                    </w:r>
                  </w:p>
                </w:txbxContent>
              </v:textbox>
              <w10:wrap type="none"/>
            </v:shape>
            <w10:wrap type="topAndBottom"/>
          </v:group>
        </w:pict>
      </w:r>
    </w:p>
    <w:p>
      <w:pPr>
        <w:spacing w:after="0"/>
        <w:rPr>
          <w:rFonts w:ascii="Arial"/>
          <w:sz w:val="15"/>
        </w:rPr>
        <w:sectPr>
          <w:pgSz w:w="11910" w:h="16840"/>
          <w:pgMar w:top="1540" w:bottom="280" w:left="0" w:right="0"/>
        </w:sectPr>
      </w:pPr>
    </w:p>
    <w:p>
      <w:pPr>
        <w:spacing w:before="88"/>
        <w:ind w:left="1711" w:right="0" w:firstLine="0"/>
        <w:jc w:val="left"/>
        <w:rPr>
          <w:rFonts w:ascii="Arial"/>
          <w:sz w:val="48"/>
        </w:rPr>
      </w:pPr>
      <w:r>
        <w:rPr/>
        <w:pict>
          <v:rect style="position:absolute;margin-left:0pt;margin-top:59.149113pt;width:595.276pt;height:7.387974pt;mso-position-horizontal-relative:page;mso-position-vertical-relative:paragraph;z-index:1144" filled="true" fillcolor="#000000" stroked="false">
            <v:fill opacity="49152f" type="solid"/>
            <w10:wrap type="none"/>
          </v:rect>
        </w:pict>
      </w:r>
      <w:r>
        <w:rPr/>
        <w:pict>
          <v:shape style="position:absolute;margin-left:56.693401pt;margin-top:-.378289pt;width:21.95pt;height:38.35pt;mso-position-horizontal-relative:page;mso-position-vertical-relative:paragraph;z-index:1168" coordorigin="1134,-8" coordsize="439,767" path="m1189,-8l1135,47,1463,375,1134,704,1189,759,1572,375,1189,-8xe" filled="true" fillcolor="#d71920" stroked="false">
            <v:path arrowok="t"/>
            <v:fill type="solid"/>
            <w10:wrap type="none"/>
          </v:shape>
        </w:pict>
      </w:r>
      <w:r>
        <w:rPr>
          <w:rFonts w:ascii="Arial"/>
          <w:color w:val="1C75BC"/>
          <w:w w:val="80"/>
          <w:sz w:val="48"/>
        </w:rPr>
        <w:t>OBJECTIVES AND RESEARCH DESIGN</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29"/>
        </w:rPr>
      </w:pPr>
    </w:p>
    <w:p>
      <w:pPr>
        <w:spacing w:after="0"/>
        <w:rPr>
          <w:rFonts w:ascii="Arial"/>
          <w:sz w:val="29"/>
        </w:rPr>
        <w:sectPr>
          <w:pgSz w:w="11910" w:h="16840"/>
          <w:pgMar w:top="1520" w:bottom="280" w:left="0" w:right="0"/>
        </w:sectPr>
      </w:pPr>
    </w:p>
    <w:p>
      <w:pPr>
        <w:pStyle w:val="BodyText"/>
        <w:spacing w:line="283" w:lineRule="auto" w:before="101"/>
        <w:ind w:left="1700" w:right="349"/>
      </w:pPr>
      <w:r>
        <w:rPr/>
        <w:t>This research has been commissioned by ASEA in</w:t>
      </w:r>
      <w:r>
        <w:rPr>
          <w:spacing w:val="-6"/>
        </w:rPr>
        <w:t> </w:t>
      </w:r>
      <w:r>
        <w:rPr/>
        <w:t>order</w:t>
      </w:r>
      <w:r>
        <w:rPr>
          <w:spacing w:val="-6"/>
        </w:rPr>
        <w:t> </w:t>
      </w:r>
      <w:r>
        <w:rPr/>
        <w:t>to</w:t>
      </w:r>
      <w:r>
        <w:rPr>
          <w:spacing w:val="-6"/>
        </w:rPr>
        <w:t> </w:t>
      </w:r>
      <w:r>
        <w:rPr/>
        <w:t>provide</w:t>
      </w:r>
      <w:r>
        <w:rPr>
          <w:spacing w:val="-6"/>
        </w:rPr>
        <w:t> </w:t>
      </w:r>
      <w:r>
        <w:rPr/>
        <w:t>a</w:t>
      </w:r>
      <w:r>
        <w:rPr>
          <w:spacing w:val="-6"/>
        </w:rPr>
        <w:t> </w:t>
      </w:r>
      <w:r>
        <w:rPr/>
        <w:t>better</w:t>
      </w:r>
      <w:r>
        <w:rPr>
          <w:spacing w:val="-6"/>
        </w:rPr>
        <w:t> </w:t>
      </w:r>
      <w:r>
        <w:rPr/>
        <w:t>understanding</w:t>
      </w:r>
      <w:r>
        <w:rPr>
          <w:spacing w:val="-6"/>
        </w:rPr>
        <w:t> </w:t>
      </w:r>
      <w:r>
        <w:rPr/>
        <w:t>of</w:t>
      </w:r>
      <w:r>
        <w:rPr>
          <w:spacing w:val="-6"/>
        </w:rPr>
        <w:t> </w:t>
      </w:r>
      <w:r>
        <w:rPr/>
        <w:t>the</w:t>
      </w:r>
    </w:p>
    <w:p>
      <w:pPr>
        <w:pStyle w:val="BodyText"/>
        <w:spacing w:line="283" w:lineRule="auto" w:before="1"/>
        <w:ind w:left="1700" w:right="-3"/>
      </w:pPr>
      <w:r>
        <w:rPr/>
        <w:t>barriers and motivations for asbestos removal in the residential</w:t>
      </w:r>
      <w:r>
        <w:rPr>
          <w:spacing w:val="-13"/>
        </w:rPr>
        <w:t> </w:t>
      </w:r>
      <w:r>
        <w:rPr/>
        <w:t>and</w:t>
      </w:r>
      <w:r>
        <w:rPr>
          <w:spacing w:val="-13"/>
        </w:rPr>
        <w:t> </w:t>
      </w:r>
      <w:r>
        <w:rPr/>
        <w:t>commercial</w:t>
      </w:r>
      <w:r>
        <w:rPr>
          <w:spacing w:val="-13"/>
        </w:rPr>
        <w:t> </w:t>
      </w:r>
      <w:r>
        <w:rPr/>
        <w:t>sectors.</w:t>
      </w:r>
      <w:r>
        <w:rPr>
          <w:spacing w:val="-13"/>
        </w:rPr>
        <w:t> </w:t>
      </w:r>
      <w:r>
        <w:rPr/>
        <w:t>In</w:t>
      </w:r>
      <w:r>
        <w:rPr>
          <w:spacing w:val="-13"/>
        </w:rPr>
        <w:t> </w:t>
      </w:r>
      <w:r>
        <w:rPr/>
        <w:t>addition</w:t>
      </w:r>
      <w:r>
        <w:rPr>
          <w:spacing w:val="-13"/>
        </w:rPr>
        <w:t> </w:t>
      </w:r>
      <w:r>
        <w:rPr/>
        <w:t>to</w:t>
      </w:r>
      <w:r>
        <w:rPr>
          <w:spacing w:val="-13"/>
        </w:rPr>
        <w:t> </w:t>
      </w:r>
      <w:r>
        <w:rPr/>
        <w:t>this, the research sought to explore potential options for increasing and encouraging the removal of asbestos within these</w:t>
      </w:r>
      <w:r>
        <w:rPr>
          <w:spacing w:val="-2"/>
        </w:rPr>
        <w:t> </w:t>
      </w:r>
      <w:r>
        <w:rPr/>
        <w:t>sectors.</w:t>
      </w:r>
    </w:p>
    <w:p>
      <w:pPr>
        <w:pStyle w:val="BodyText"/>
        <w:spacing w:line="283" w:lineRule="auto" w:before="133"/>
        <w:ind w:left="1700" w:right="-3"/>
      </w:pPr>
      <w:r>
        <w:rPr/>
        <w:t>To meet the objectives, the project comprised three phases of research:</w:t>
      </w:r>
    </w:p>
    <w:p>
      <w:pPr>
        <w:pStyle w:val="BodyText"/>
        <w:spacing w:line="283" w:lineRule="auto" w:before="132"/>
        <w:ind w:left="1984" w:right="-3" w:hanging="284"/>
      </w:pPr>
      <w:r>
        <w:rPr>
          <w:position w:val="-3"/>
        </w:rPr>
        <w:drawing>
          <wp:inline distT="0" distB="0" distL="0" distR="0">
            <wp:extent cx="71843" cy="111455"/>
            <wp:effectExtent l="0" t="0" r="0" b="0"/>
            <wp:docPr id="1" name="image11.png" descr=""/>
            <wp:cNvGraphicFramePr>
              <a:graphicFrameLocks noChangeAspect="1"/>
            </wp:cNvGraphicFramePr>
            <a:graphic>
              <a:graphicData uri="http://schemas.openxmlformats.org/drawingml/2006/picture">
                <pic:pic>
                  <pic:nvPicPr>
                    <pic:cNvPr id="2" name="image11.png"/>
                    <pic:cNvPicPr/>
                  </pic:nvPicPr>
                  <pic:blipFill>
                    <a:blip r:embed="rId15" cstate="print"/>
                    <a:stretch>
                      <a:fillRect/>
                    </a:stretch>
                  </pic:blipFill>
                  <pic:spPr>
                    <a:xfrm>
                      <a:off x="0" y="0"/>
                      <a:ext cx="71843" cy="111455"/>
                    </a:xfrm>
                    <a:prstGeom prst="rect">
                      <a:avLst/>
                    </a:prstGeom>
                  </pic:spPr>
                </pic:pic>
              </a:graphicData>
            </a:graphic>
          </wp:inline>
        </w:drawing>
      </w:r>
      <w:r>
        <w:rPr>
          <w:position w:val="-3"/>
        </w:rPr>
      </w:r>
      <w:r>
        <w:rPr>
          <w:rFonts w:ascii="Times New Roman"/>
          <w:sz w:val="20"/>
        </w:rPr>
        <w:t>  </w:t>
      </w:r>
      <w:r>
        <w:rPr>
          <w:rFonts w:ascii="Times New Roman"/>
          <w:spacing w:val="20"/>
          <w:sz w:val="20"/>
        </w:rPr>
        <w:t> </w:t>
      </w:r>
      <w:r>
        <w:rPr/>
        <w:t>An initial qualitative stage, involving six focus groups with homeowners in state capital</w:t>
      </w:r>
      <w:r>
        <w:rPr>
          <w:spacing w:val="-27"/>
        </w:rPr>
        <w:t> </w:t>
      </w:r>
      <w:r>
        <w:rPr/>
        <w:t>cities and regional locations across Australia </w:t>
      </w:r>
      <w:r>
        <w:rPr>
          <w:spacing w:val="-3"/>
        </w:rPr>
        <w:t>(NSW, </w:t>
      </w:r>
      <w:r>
        <w:rPr/>
        <w:t>Victoria and Western</w:t>
      </w:r>
      <w:r>
        <w:rPr>
          <w:spacing w:val="-9"/>
        </w:rPr>
        <w:t> </w:t>
      </w:r>
      <w:r>
        <w:rPr/>
        <w:t>Australia)</w:t>
      </w:r>
    </w:p>
    <w:p>
      <w:pPr>
        <w:pStyle w:val="BodyText"/>
        <w:spacing w:line="283" w:lineRule="auto" w:before="133"/>
        <w:ind w:left="1984" w:right="-3" w:hanging="284"/>
      </w:pPr>
      <w:r>
        <w:rPr>
          <w:position w:val="-3"/>
        </w:rPr>
        <w:drawing>
          <wp:inline distT="0" distB="0" distL="0" distR="0">
            <wp:extent cx="71843" cy="111455"/>
            <wp:effectExtent l="0" t="0" r="0" b="0"/>
            <wp:docPr id="3" name="image11.png" descr=""/>
            <wp:cNvGraphicFramePr>
              <a:graphicFrameLocks noChangeAspect="1"/>
            </wp:cNvGraphicFramePr>
            <a:graphic>
              <a:graphicData uri="http://schemas.openxmlformats.org/drawingml/2006/picture">
                <pic:pic>
                  <pic:nvPicPr>
                    <pic:cNvPr id="4" name="image11.png"/>
                    <pic:cNvPicPr/>
                  </pic:nvPicPr>
                  <pic:blipFill>
                    <a:blip r:embed="rId15" cstate="print"/>
                    <a:stretch>
                      <a:fillRect/>
                    </a:stretch>
                  </pic:blipFill>
                  <pic:spPr>
                    <a:xfrm>
                      <a:off x="0" y="0"/>
                      <a:ext cx="71843" cy="111455"/>
                    </a:xfrm>
                    <a:prstGeom prst="rect">
                      <a:avLst/>
                    </a:prstGeom>
                  </pic:spPr>
                </pic:pic>
              </a:graphicData>
            </a:graphic>
          </wp:inline>
        </w:drawing>
      </w:r>
      <w:r>
        <w:rPr>
          <w:position w:val="-3"/>
        </w:rPr>
      </w:r>
      <w:r>
        <w:rPr>
          <w:rFonts w:ascii="Times New Roman"/>
          <w:sz w:val="20"/>
        </w:rPr>
        <w:t>  </w:t>
      </w:r>
      <w:r>
        <w:rPr>
          <w:rFonts w:ascii="Times New Roman"/>
          <w:spacing w:val="20"/>
          <w:sz w:val="20"/>
        </w:rPr>
        <w:t> </w:t>
      </w:r>
      <w:r>
        <w:rPr/>
        <w:t>A nationally representative quantitative survey was</w:t>
      </w:r>
      <w:r>
        <w:rPr>
          <w:spacing w:val="-17"/>
        </w:rPr>
        <w:t> </w:t>
      </w:r>
      <w:r>
        <w:rPr/>
        <w:t>administered</w:t>
      </w:r>
      <w:r>
        <w:rPr>
          <w:spacing w:val="-17"/>
        </w:rPr>
        <w:t> </w:t>
      </w:r>
      <w:r>
        <w:rPr/>
        <w:t>online</w:t>
      </w:r>
      <w:r>
        <w:rPr>
          <w:spacing w:val="-17"/>
        </w:rPr>
        <w:t> </w:t>
      </w:r>
      <w:r>
        <w:rPr/>
        <w:t>with</w:t>
      </w:r>
      <w:r>
        <w:rPr>
          <w:spacing w:val="-17"/>
        </w:rPr>
        <w:t> </w:t>
      </w:r>
      <w:r>
        <w:rPr/>
        <w:t>n=2,036</w:t>
      </w:r>
      <w:r>
        <w:rPr>
          <w:spacing w:val="-17"/>
        </w:rPr>
        <w:t> </w:t>
      </w:r>
      <w:r>
        <w:rPr/>
        <w:t>Australians, which incorporated a conjoint analysis (choice modelling) component</w:t>
      </w:r>
    </w:p>
    <w:p>
      <w:pPr>
        <w:pStyle w:val="BodyText"/>
        <w:spacing w:line="283" w:lineRule="auto" w:before="133"/>
        <w:ind w:left="1984" w:right="-3" w:hanging="284"/>
      </w:pPr>
      <w:r>
        <w:rPr>
          <w:position w:val="-3"/>
        </w:rPr>
        <w:drawing>
          <wp:inline distT="0" distB="0" distL="0" distR="0">
            <wp:extent cx="71843" cy="111455"/>
            <wp:effectExtent l="0" t="0" r="0" b="0"/>
            <wp:docPr id="5" name="image11.png" descr=""/>
            <wp:cNvGraphicFramePr>
              <a:graphicFrameLocks noChangeAspect="1"/>
            </wp:cNvGraphicFramePr>
            <a:graphic>
              <a:graphicData uri="http://schemas.openxmlformats.org/drawingml/2006/picture">
                <pic:pic>
                  <pic:nvPicPr>
                    <pic:cNvPr id="6" name="image11.png"/>
                    <pic:cNvPicPr/>
                  </pic:nvPicPr>
                  <pic:blipFill>
                    <a:blip r:embed="rId15" cstate="print"/>
                    <a:stretch>
                      <a:fillRect/>
                    </a:stretch>
                  </pic:blipFill>
                  <pic:spPr>
                    <a:xfrm>
                      <a:off x="0" y="0"/>
                      <a:ext cx="71843" cy="111455"/>
                    </a:xfrm>
                    <a:prstGeom prst="rect">
                      <a:avLst/>
                    </a:prstGeom>
                  </pic:spPr>
                </pic:pic>
              </a:graphicData>
            </a:graphic>
          </wp:inline>
        </w:drawing>
      </w:r>
      <w:r>
        <w:rPr>
          <w:position w:val="-3"/>
        </w:rPr>
      </w:r>
      <w:r>
        <w:rPr>
          <w:rFonts w:ascii="Times New Roman"/>
          <w:sz w:val="20"/>
        </w:rPr>
        <w:t>  </w:t>
      </w:r>
      <w:r>
        <w:rPr>
          <w:rFonts w:ascii="Times New Roman"/>
          <w:spacing w:val="20"/>
          <w:sz w:val="20"/>
        </w:rPr>
        <w:t> </w:t>
      </w:r>
      <w:r>
        <w:rPr/>
        <w:t>A second qualitative phase involving n=8 commercial property</w:t>
      </w:r>
      <w:r>
        <w:rPr>
          <w:spacing w:val="-2"/>
        </w:rPr>
        <w:t> </w:t>
      </w:r>
      <w:r>
        <w:rPr/>
        <w:t>managers</w:t>
      </w:r>
    </w:p>
    <w:p>
      <w:pPr>
        <w:pStyle w:val="Heading2"/>
        <w:spacing w:before="100"/>
      </w:pPr>
      <w:r>
        <w:rPr>
          <w:w w:val="90"/>
        </w:rPr>
        <w:t>Key findings – homeowners</w:t>
      </w:r>
    </w:p>
    <w:p>
      <w:pPr>
        <w:pStyle w:val="BodyText"/>
        <w:spacing w:before="160"/>
        <w:ind w:left="1700"/>
      </w:pPr>
      <w:r>
        <w:rPr/>
        <w:t>Overview</w:t>
      </w:r>
    </w:p>
    <w:p>
      <w:pPr>
        <w:pStyle w:val="BodyText"/>
        <w:spacing w:line="283" w:lineRule="auto" w:before="170"/>
        <w:ind w:left="1700" w:right="36"/>
      </w:pPr>
      <w:r>
        <w:rPr/>
        <w:t>One of the key aspects of the project was the undertaking of choice modelling based on the quantitative survey. ASEA required statistical modelling to assist in identifying interventions which may encourage home owners to remove asbestos from their properties in the immediate future. A conjoint modelling approach (specifically, traditional full profile conjoint analysis) was considered most suitable for this objective and hence applied to the study design.</w:t>
      </w:r>
    </w:p>
    <w:p>
      <w:pPr>
        <w:pStyle w:val="BodyText"/>
        <w:spacing w:line="283" w:lineRule="auto" w:before="136"/>
        <w:ind w:left="1700" w:right="-3"/>
      </w:pPr>
      <w:r>
        <w:rPr/>
        <w:t>The objective of the conjoint analysis was to understand the impact that the location of the asbestos, application of a hypothetical government initiative, and the amount/cost of the asbestos to be removed have on decisions about asbestos removal.</w:t>
      </w:r>
    </w:p>
    <w:p>
      <w:pPr>
        <w:pStyle w:val="BodyText"/>
        <w:spacing w:before="100"/>
        <w:ind w:left="533"/>
      </w:pPr>
      <w:r>
        <w:rPr/>
        <w:br w:type="column"/>
      </w:r>
      <w:r>
        <w:rPr/>
        <w:t>Importance of factors</w:t>
      </w:r>
    </w:p>
    <w:p>
      <w:pPr>
        <w:pStyle w:val="BodyText"/>
        <w:spacing w:before="170"/>
        <w:ind w:left="533"/>
      </w:pPr>
      <w:r>
        <w:rPr/>
        <w:t>Three key factors were used in the conjoint analysis:</w:t>
      </w:r>
    </w:p>
    <w:p>
      <w:pPr>
        <w:pStyle w:val="BodyText"/>
        <w:spacing w:line="283" w:lineRule="auto" w:before="171"/>
        <w:ind w:left="817" w:right="1819" w:hanging="284"/>
      </w:pPr>
      <w:r>
        <w:rPr>
          <w:position w:val="-3"/>
        </w:rPr>
        <w:drawing>
          <wp:inline distT="0" distB="0" distL="0" distR="0">
            <wp:extent cx="71843" cy="111455"/>
            <wp:effectExtent l="0" t="0" r="0" b="0"/>
            <wp:docPr id="7" name="image12.png" descr=""/>
            <wp:cNvGraphicFramePr>
              <a:graphicFrameLocks noChangeAspect="1"/>
            </wp:cNvGraphicFramePr>
            <a:graphic>
              <a:graphicData uri="http://schemas.openxmlformats.org/drawingml/2006/picture">
                <pic:pic>
                  <pic:nvPicPr>
                    <pic:cNvPr id="8" name="image12.png"/>
                    <pic:cNvPicPr/>
                  </pic:nvPicPr>
                  <pic:blipFill>
                    <a:blip r:embed="rId16" cstate="print"/>
                    <a:stretch>
                      <a:fillRect/>
                    </a:stretch>
                  </pic:blipFill>
                  <pic:spPr>
                    <a:xfrm>
                      <a:off x="0" y="0"/>
                      <a:ext cx="71843" cy="111455"/>
                    </a:xfrm>
                    <a:prstGeom prst="rect">
                      <a:avLst/>
                    </a:prstGeom>
                  </pic:spPr>
                </pic:pic>
              </a:graphicData>
            </a:graphic>
          </wp:inline>
        </w:drawing>
      </w:r>
      <w:r>
        <w:rPr>
          <w:position w:val="-3"/>
        </w:rPr>
      </w:r>
      <w:r>
        <w:rPr>
          <w:rFonts w:ascii="Times New Roman"/>
          <w:sz w:val="20"/>
        </w:rPr>
        <w:t>  </w:t>
      </w:r>
      <w:r>
        <w:rPr>
          <w:rFonts w:ascii="Times New Roman"/>
          <w:spacing w:val="20"/>
          <w:sz w:val="20"/>
        </w:rPr>
        <w:t> </w:t>
      </w:r>
      <w:r>
        <w:rPr/>
        <w:t>The location of the asbestos in the home</w:t>
      </w:r>
      <w:r>
        <w:rPr>
          <w:spacing w:val="-27"/>
        </w:rPr>
        <w:t> </w:t>
      </w:r>
      <w:r>
        <w:rPr>
          <w:spacing w:val="-3"/>
        </w:rPr>
        <w:t>(a </w:t>
      </w:r>
      <w:r>
        <w:rPr/>
        <w:t>proxy for</w:t>
      </w:r>
      <w:r>
        <w:rPr>
          <w:spacing w:val="-7"/>
        </w:rPr>
        <w:t> </w:t>
      </w:r>
      <w:r>
        <w:rPr/>
        <w:t>the</w:t>
      </w:r>
      <w:r>
        <w:rPr>
          <w:spacing w:val="-7"/>
        </w:rPr>
        <w:t> </w:t>
      </w:r>
      <w:r>
        <w:rPr/>
        <w:t>potential</w:t>
      </w:r>
      <w:r>
        <w:rPr>
          <w:spacing w:val="-7"/>
        </w:rPr>
        <w:t> </w:t>
      </w:r>
      <w:r>
        <w:rPr/>
        <w:t>risk</w:t>
      </w:r>
      <w:r>
        <w:rPr>
          <w:spacing w:val="-7"/>
        </w:rPr>
        <w:t> </w:t>
      </w:r>
      <w:r>
        <w:rPr/>
        <w:t>of</w:t>
      </w:r>
      <w:r>
        <w:rPr>
          <w:spacing w:val="-7"/>
        </w:rPr>
        <w:t> </w:t>
      </w:r>
      <w:r>
        <w:rPr/>
        <w:t>exposure</w:t>
      </w:r>
      <w:r>
        <w:rPr>
          <w:spacing w:val="-7"/>
        </w:rPr>
        <w:t> </w:t>
      </w:r>
      <w:r>
        <w:rPr/>
        <w:t>to</w:t>
      </w:r>
      <w:r>
        <w:rPr>
          <w:spacing w:val="-7"/>
        </w:rPr>
        <w:t> </w:t>
      </w:r>
      <w:r>
        <w:rPr/>
        <w:t>asbestos)</w:t>
      </w:r>
    </w:p>
    <w:p>
      <w:pPr>
        <w:pStyle w:val="BodyText"/>
        <w:spacing w:line="283" w:lineRule="auto" w:before="132"/>
        <w:ind w:left="817" w:right="1889" w:hanging="284"/>
      </w:pPr>
      <w:r>
        <w:rPr>
          <w:position w:val="-3"/>
        </w:rPr>
        <w:drawing>
          <wp:inline distT="0" distB="0" distL="0" distR="0">
            <wp:extent cx="71843" cy="111455"/>
            <wp:effectExtent l="0" t="0" r="0" b="0"/>
            <wp:docPr id="9" name="image11.png" descr=""/>
            <wp:cNvGraphicFramePr>
              <a:graphicFrameLocks noChangeAspect="1"/>
            </wp:cNvGraphicFramePr>
            <a:graphic>
              <a:graphicData uri="http://schemas.openxmlformats.org/drawingml/2006/picture">
                <pic:pic>
                  <pic:nvPicPr>
                    <pic:cNvPr id="10" name="image11.png"/>
                    <pic:cNvPicPr/>
                  </pic:nvPicPr>
                  <pic:blipFill>
                    <a:blip r:embed="rId15" cstate="print"/>
                    <a:stretch>
                      <a:fillRect/>
                    </a:stretch>
                  </pic:blipFill>
                  <pic:spPr>
                    <a:xfrm>
                      <a:off x="0" y="0"/>
                      <a:ext cx="71843" cy="111455"/>
                    </a:xfrm>
                    <a:prstGeom prst="rect">
                      <a:avLst/>
                    </a:prstGeom>
                  </pic:spPr>
                </pic:pic>
              </a:graphicData>
            </a:graphic>
          </wp:inline>
        </w:drawing>
      </w:r>
      <w:r>
        <w:rPr>
          <w:position w:val="-3"/>
        </w:rPr>
      </w:r>
      <w:r>
        <w:rPr>
          <w:rFonts w:ascii="Times New Roman"/>
          <w:sz w:val="20"/>
        </w:rPr>
        <w:t>  </w:t>
      </w:r>
      <w:r>
        <w:rPr>
          <w:rFonts w:ascii="Times New Roman"/>
          <w:spacing w:val="20"/>
          <w:sz w:val="20"/>
        </w:rPr>
        <w:t> </w:t>
      </w:r>
      <w:r>
        <w:rPr/>
        <w:t>The hypothetical government initiative or intervention provided to encourage and support removal of the</w:t>
      </w:r>
      <w:r>
        <w:rPr>
          <w:spacing w:val="-3"/>
        </w:rPr>
        <w:t> </w:t>
      </w:r>
      <w:r>
        <w:rPr/>
        <w:t>asbestos</w:t>
      </w:r>
    </w:p>
    <w:p>
      <w:pPr>
        <w:pStyle w:val="BodyText"/>
        <w:spacing w:line="283" w:lineRule="auto" w:before="132"/>
        <w:ind w:left="817" w:right="1819" w:hanging="284"/>
      </w:pPr>
      <w:r>
        <w:rPr>
          <w:position w:val="-3"/>
        </w:rPr>
        <w:drawing>
          <wp:inline distT="0" distB="0" distL="0" distR="0">
            <wp:extent cx="71843" cy="111455"/>
            <wp:effectExtent l="0" t="0" r="0" b="0"/>
            <wp:docPr id="11" name="image12.png" descr=""/>
            <wp:cNvGraphicFramePr>
              <a:graphicFrameLocks noChangeAspect="1"/>
            </wp:cNvGraphicFramePr>
            <a:graphic>
              <a:graphicData uri="http://schemas.openxmlformats.org/drawingml/2006/picture">
                <pic:pic>
                  <pic:nvPicPr>
                    <pic:cNvPr id="12" name="image12.png"/>
                    <pic:cNvPicPr/>
                  </pic:nvPicPr>
                  <pic:blipFill>
                    <a:blip r:embed="rId16" cstate="print"/>
                    <a:stretch>
                      <a:fillRect/>
                    </a:stretch>
                  </pic:blipFill>
                  <pic:spPr>
                    <a:xfrm>
                      <a:off x="0" y="0"/>
                      <a:ext cx="71843" cy="111455"/>
                    </a:xfrm>
                    <a:prstGeom prst="rect">
                      <a:avLst/>
                    </a:prstGeom>
                  </pic:spPr>
                </pic:pic>
              </a:graphicData>
            </a:graphic>
          </wp:inline>
        </w:drawing>
      </w:r>
      <w:r>
        <w:rPr>
          <w:position w:val="-3"/>
        </w:rPr>
      </w:r>
      <w:r>
        <w:rPr>
          <w:rFonts w:ascii="Times New Roman"/>
          <w:sz w:val="20"/>
        </w:rPr>
        <w:t>  </w:t>
      </w:r>
      <w:r>
        <w:rPr>
          <w:rFonts w:ascii="Times New Roman"/>
          <w:spacing w:val="20"/>
          <w:sz w:val="20"/>
        </w:rPr>
        <w:t> </w:t>
      </w:r>
      <w:r>
        <w:rPr/>
        <w:t>The</w:t>
      </w:r>
      <w:r>
        <w:rPr>
          <w:spacing w:val="-7"/>
        </w:rPr>
        <w:t> </w:t>
      </w:r>
      <w:r>
        <w:rPr/>
        <w:t>size</w:t>
      </w:r>
      <w:r>
        <w:rPr>
          <w:spacing w:val="-7"/>
        </w:rPr>
        <w:t> </w:t>
      </w:r>
      <w:r>
        <w:rPr/>
        <w:t>of</w:t>
      </w:r>
      <w:r>
        <w:rPr>
          <w:spacing w:val="-7"/>
        </w:rPr>
        <w:t> </w:t>
      </w:r>
      <w:r>
        <w:rPr/>
        <w:t>the</w:t>
      </w:r>
      <w:r>
        <w:rPr>
          <w:spacing w:val="-7"/>
        </w:rPr>
        <w:t> </w:t>
      </w:r>
      <w:r>
        <w:rPr/>
        <w:t>area</w:t>
      </w:r>
      <w:r>
        <w:rPr>
          <w:spacing w:val="-7"/>
        </w:rPr>
        <w:t> </w:t>
      </w:r>
      <w:r>
        <w:rPr/>
        <w:t>of</w:t>
      </w:r>
      <w:r>
        <w:rPr>
          <w:spacing w:val="-7"/>
        </w:rPr>
        <w:t> </w:t>
      </w:r>
      <w:r>
        <w:rPr/>
        <w:t>asbestos</w:t>
      </w:r>
      <w:r>
        <w:rPr>
          <w:spacing w:val="-7"/>
        </w:rPr>
        <w:t> </w:t>
      </w:r>
      <w:r>
        <w:rPr/>
        <w:t>to</w:t>
      </w:r>
      <w:r>
        <w:rPr>
          <w:spacing w:val="-7"/>
        </w:rPr>
        <w:t> </w:t>
      </w:r>
      <w:r>
        <w:rPr/>
        <w:t>be</w:t>
      </w:r>
      <w:r>
        <w:rPr>
          <w:spacing w:val="-7"/>
        </w:rPr>
        <w:t> </w:t>
      </w:r>
      <w:r>
        <w:rPr/>
        <w:t>removed (and the corresponding</w:t>
      </w:r>
      <w:r>
        <w:rPr>
          <w:spacing w:val="-3"/>
        </w:rPr>
        <w:t> </w:t>
      </w:r>
      <w:r>
        <w:rPr/>
        <w:t>price)</w:t>
      </w:r>
    </w:p>
    <w:p>
      <w:pPr>
        <w:pStyle w:val="BodyText"/>
        <w:spacing w:line="283" w:lineRule="auto" w:before="131"/>
        <w:ind w:left="533" w:right="1819"/>
      </w:pPr>
      <w:r>
        <w:rPr/>
        <w:t>In order to assess how important each factor is in relation to decisions on whether or not to remove asbestos from the home, factor importance scores are calculated.</w:t>
      </w:r>
    </w:p>
    <w:p>
      <w:pPr>
        <w:pStyle w:val="BodyText"/>
        <w:spacing w:line="283" w:lineRule="auto" w:before="133"/>
        <w:ind w:left="533" w:right="1742"/>
      </w:pPr>
      <w:r>
        <w:rPr/>
        <w:t>Importance scores are derived for each factor based on the full range of model coefficients within a factor. For example, for the location of asbestos factor,</w:t>
      </w:r>
    </w:p>
    <w:p>
      <w:pPr>
        <w:pStyle w:val="BodyText"/>
        <w:spacing w:line="283" w:lineRule="auto" w:before="2"/>
        <w:ind w:left="533" w:right="2113"/>
      </w:pPr>
      <w:r>
        <w:rPr/>
        <w:t>the coefficients for kitchen, bathroom, eaves and guttering, and fencing or shed are considered.</w:t>
      </w:r>
    </w:p>
    <w:p>
      <w:pPr>
        <w:pStyle w:val="BodyText"/>
        <w:spacing w:line="283" w:lineRule="auto" w:before="131"/>
        <w:ind w:left="533" w:right="1840"/>
      </w:pPr>
      <w:r>
        <w:rPr/>
        <w:t>The base level within each factor is represented by an</w:t>
      </w:r>
      <w:r>
        <w:rPr>
          <w:spacing w:val="-8"/>
        </w:rPr>
        <w:t> </w:t>
      </w:r>
      <w:r>
        <w:rPr/>
        <w:t>importance</w:t>
      </w:r>
      <w:r>
        <w:rPr>
          <w:spacing w:val="-8"/>
        </w:rPr>
        <w:t> </w:t>
      </w:r>
      <w:r>
        <w:rPr/>
        <w:t>score</w:t>
      </w:r>
      <w:r>
        <w:rPr>
          <w:spacing w:val="-8"/>
        </w:rPr>
        <w:t> </w:t>
      </w:r>
      <w:r>
        <w:rPr/>
        <w:t>of</w:t>
      </w:r>
      <w:r>
        <w:rPr>
          <w:spacing w:val="-8"/>
        </w:rPr>
        <w:t> </w:t>
      </w:r>
      <w:r>
        <w:rPr/>
        <w:t>zero</w:t>
      </w:r>
      <w:r>
        <w:rPr>
          <w:spacing w:val="-8"/>
        </w:rPr>
        <w:t> </w:t>
      </w:r>
      <w:r>
        <w:rPr/>
        <w:t>(see</w:t>
      </w:r>
      <w:r>
        <w:rPr>
          <w:spacing w:val="-8"/>
        </w:rPr>
        <w:t> </w:t>
      </w:r>
      <w:r>
        <w:rPr/>
        <w:t>column</w:t>
      </w:r>
      <w:r>
        <w:rPr>
          <w:spacing w:val="-8"/>
        </w:rPr>
        <w:t> </w:t>
      </w:r>
      <w:r>
        <w:rPr/>
        <w:t>4</w:t>
      </w:r>
      <w:r>
        <w:rPr>
          <w:spacing w:val="-8"/>
        </w:rPr>
        <w:t> </w:t>
      </w:r>
      <w:r>
        <w:rPr/>
        <w:t>in</w:t>
      </w:r>
      <w:r>
        <w:rPr>
          <w:spacing w:val="-8"/>
        </w:rPr>
        <w:t> </w:t>
      </w:r>
      <w:r>
        <w:rPr/>
        <w:t>Table</w:t>
      </w:r>
      <w:r>
        <w:rPr>
          <w:spacing w:val="-8"/>
        </w:rPr>
        <w:t> </w:t>
      </w:r>
      <w:r>
        <w:rPr>
          <w:spacing w:val="-6"/>
        </w:rPr>
        <w:t>1). </w:t>
      </w:r>
      <w:r>
        <w:rPr/>
        <w:t>A high positive or negative score indicates a strong impact on the likelihood to remove asbestos. The more positive the score, the higher the likelihood to remove the asbestos for that feature, compared to a base level. A negative score reflects a reduction of proportion</w:t>
      </w:r>
      <w:r>
        <w:rPr>
          <w:spacing w:val="-5"/>
        </w:rPr>
        <w:t> </w:t>
      </w:r>
      <w:r>
        <w:rPr/>
        <w:t>of</w:t>
      </w:r>
      <w:r>
        <w:rPr>
          <w:spacing w:val="-5"/>
        </w:rPr>
        <w:t> </w:t>
      </w:r>
      <w:r>
        <w:rPr/>
        <w:t>people</w:t>
      </w:r>
      <w:r>
        <w:rPr>
          <w:spacing w:val="-5"/>
        </w:rPr>
        <w:t> </w:t>
      </w:r>
      <w:r>
        <w:rPr/>
        <w:t>likely</w:t>
      </w:r>
      <w:r>
        <w:rPr>
          <w:spacing w:val="-5"/>
        </w:rPr>
        <w:t> </w:t>
      </w:r>
      <w:r>
        <w:rPr/>
        <w:t>to</w:t>
      </w:r>
      <w:r>
        <w:rPr>
          <w:spacing w:val="-5"/>
        </w:rPr>
        <w:t> </w:t>
      </w:r>
      <w:r>
        <w:rPr/>
        <w:t>remove</w:t>
      </w:r>
      <w:r>
        <w:rPr>
          <w:spacing w:val="-5"/>
        </w:rPr>
        <w:t> </w:t>
      </w:r>
      <w:r>
        <w:rPr/>
        <w:t>the</w:t>
      </w:r>
      <w:r>
        <w:rPr>
          <w:spacing w:val="-5"/>
        </w:rPr>
        <w:t> </w:t>
      </w:r>
      <w:r>
        <w:rPr/>
        <w:t>asbestos.</w:t>
      </w:r>
    </w:p>
    <w:p>
      <w:pPr>
        <w:pStyle w:val="BodyText"/>
        <w:spacing w:line="283" w:lineRule="auto" w:before="6"/>
        <w:ind w:left="533" w:right="1806"/>
      </w:pPr>
      <w:r>
        <w:rPr/>
        <w:t>A higher importance score for any given factor, regardless of positive or negative direction, therefore means that it has a greater influence over the likelihood to remove asbestos. Note that importance scores show rankings, not relative differences between the levels within the factor.</w:t>
      </w:r>
    </w:p>
    <w:p>
      <w:pPr>
        <w:pStyle w:val="BodyText"/>
        <w:spacing w:line="283" w:lineRule="auto" w:before="134"/>
        <w:ind w:left="533" w:right="1819"/>
      </w:pPr>
      <w:r>
        <w:rPr/>
        <w:t>The table below displays the importance scores for each of the factors included in the model, and the overall importance of each factor.</w:t>
      </w:r>
    </w:p>
    <w:p>
      <w:pPr>
        <w:spacing w:after="0" w:line="283" w:lineRule="auto"/>
        <w:sectPr>
          <w:type w:val="continuous"/>
          <w:pgSz w:w="11910" w:h="16840"/>
          <w:pgMar w:top="1580" w:bottom="280" w:left="0" w:right="0"/>
          <w:cols w:num="2" w:equalWidth="0">
            <w:col w:w="5606" w:space="40"/>
            <w:col w:w="6264"/>
          </w:cols>
        </w:sectPr>
      </w:pPr>
    </w:p>
    <w:p>
      <w:pPr>
        <w:pStyle w:val="BodyText"/>
        <w:spacing w:before="81"/>
        <w:ind w:left="1700"/>
        <w:rPr>
          <w:rFonts w:ascii="Arial"/>
        </w:rPr>
      </w:pPr>
      <w:r>
        <w:rPr>
          <w:rFonts w:ascii="Arial"/>
          <w:w w:val="95"/>
        </w:rPr>
        <w:t>Table 1: Importance coefficients for conjoint analysis</w:t>
      </w:r>
    </w:p>
    <w:p>
      <w:pPr>
        <w:pStyle w:val="BodyText"/>
        <w:spacing w:before="7"/>
        <w:rPr>
          <w:rFonts w:ascii="Arial"/>
          <w:sz w:val="16"/>
        </w:rPr>
      </w:pPr>
    </w:p>
    <w:tbl>
      <w:tblPr>
        <w:tblW w:w="0" w:type="auto"/>
        <w:jc w:val="left"/>
        <w:tblInd w:w="1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01"/>
        <w:gridCol w:w="1899"/>
        <w:gridCol w:w="1502"/>
        <w:gridCol w:w="1700"/>
        <w:gridCol w:w="1700"/>
      </w:tblGrid>
      <w:tr>
        <w:trPr>
          <w:trHeight w:val="448" w:hRule="atLeast"/>
        </w:trPr>
        <w:tc>
          <w:tcPr>
            <w:tcW w:w="1701" w:type="dxa"/>
            <w:tcBorders>
              <w:top w:val="single" w:sz="4" w:space="0" w:color="FFFFFF"/>
              <w:right w:val="single" w:sz="4" w:space="0" w:color="FFFFFF"/>
            </w:tcBorders>
            <w:shd w:val="clear" w:color="auto" w:fill="1C75BC"/>
          </w:tcPr>
          <w:p>
            <w:pPr>
              <w:pStyle w:val="TableParagraph"/>
              <w:spacing w:before="118"/>
              <w:ind w:left="617" w:right="575"/>
              <w:rPr>
                <w:sz w:val="18"/>
              </w:rPr>
            </w:pPr>
            <w:r>
              <w:rPr>
                <w:color w:val="FFFFFF"/>
                <w:sz w:val="18"/>
              </w:rPr>
              <w:t>Factor</w:t>
            </w:r>
          </w:p>
        </w:tc>
        <w:tc>
          <w:tcPr>
            <w:tcW w:w="1899" w:type="dxa"/>
            <w:tcBorders>
              <w:top w:val="single" w:sz="4" w:space="0" w:color="FFFFFF"/>
              <w:left w:val="single" w:sz="4" w:space="0" w:color="FFFFFF"/>
              <w:right w:val="single" w:sz="4" w:space="0" w:color="FFFFFF"/>
            </w:tcBorders>
            <w:shd w:val="clear" w:color="auto" w:fill="1C75BC"/>
          </w:tcPr>
          <w:p>
            <w:pPr>
              <w:pStyle w:val="TableParagraph"/>
              <w:spacing w:before="118"/>
              <w:ind w:left="726" w:right="726"/>
              <w:rPr>
                <w:sz w:val="18"/>
              </w:rPr>
            </w:pPr>
            <w:r>
              <w:rPr>
                <w:color w:val="FFFFFF"/>
                <w:w w:val="105"/>
                <w:sz w:val="18"/>
              </w:rPr>
              <w:t>Level</w:t>
            </w:r>
          </w:p>
        </w:tc>
        <w:tc>
          <w:tcPr>
            <w:tcW w:w="1502" w:type="dxa"/>
            <w:tcBorders>
              <w:top w:val="single" w:sz="4" w:space="0" w:color="FFFFFF"/>
              <w:left w:val="single" w:sz="4" w:space="0" w:color="FFFFFF"/>
              <w:right w:val="single" w:sz="4" w:space="0" w:color="FFFFFF"/>
            </w:tcBorders>
            <w:shd w:val="clear" w:color="auto" w:fill="1C75BC"/>
          </w:tcPr>
          <w:p>
            <w:pPr>
              <w:pStyle w:val="TableParagraph"/>
              <w:spacing w:before="118"/>
              <w:ind w:left="420" w:right="420"/>
              <w:rPr>
                <w:sz w:val="18"/>
              </w:rPr>
            </w:pPr>
            <w:r>
              <w:rPr>
                <w:color w:val="FFFFFF"/>
                <w:w w:val="105"/>
                <w:sz w:val="18"/>
              </w:rPr>
              <w:t>Ranking</w:t>
            </w:r>
          </w:p>
        </w:tc>
        <w:tc>
          <w:tcPr>
            <w:tcW w:w="1700" w:type="dxa"/>
            <w:tcBorders>
              <w:top w:val="single" w:sz="4" w:space="0" w:color="FFFFFF"/>
              <w:left w:val="single" w:sz="4" w:space="0" w:color="FFFFFF"/>
              <w:right w:val="single" w:sz="4" w:space="0" w:color="FFFFFF"/>
            </w:tcBorders>
            <w:shd w:val="clear" w:color="auto" w:fill="1C75BC"/>
          </w:tcPr>
          <w:p>
            <w:pPr>
              <w:pStyle w:val="TableParagraph"/>
              <w:spacing w:before="118"/>
              <w:ind w:left="184" w:right="183"/>
              <w:rPr>
                <w:sz w:val="18"/>
              </w:rPr>
            </w:pPr>
            <w:r>
              <w:rPr>
                <w:color w:val="FFFFFF"/>
                <w:sz w:val="18"/>
              </w:rPr>
              <w:t>Importance score</w:t>
            </w:r>
          </w:p>
        </w:tc>
        <w:tc>
          <w:tcPr>
            <w:tcW w:w="1700" w:type="dxa"/>
            <w:tcBorders>
              <w:top w:val="single" w:sz="4" w:space="0" w:color="FFFFFF"/>
              <w:left w:val="single" w:sz="4" w:space="0" w:color="FFFFFF"/>
              <w:right w:val="single" w:sz="4" w:space="0" w:color="FFFFFF"/>
            </w:tcBorders>
            <w:shd w:val="clear" w:color="auto" w:fill="1C75BC"/>
          </w:tcPr>
          <w:p>
            <w:pPr>
              <w:pStyle w:val="TableParagraph"/>
              <w:spacing w:before="118"/>
              <w:ind w:left="150"/>
              <w:jc w:val="left"/>
              <w:rPr>
                <w:sz w:val="18"/>
              </w:rPr>
            </w:pPr>
            <w:r>
              <w:rPr>
                <w:color w:val="FFFFFF"/>
                <w:sz w:val="18"/>
              </w:rPr>
              <w:t>Factor importance</w:t>
            </w:r>
          </w:p>
        </w:tc>
      </w:tr>
      <w:tr>
        <w:trPr>
          <w:trHeight w:val="448" w:hRule="atLeast"/>
        </w:trPr>
        <w:tc>
          <w:tcPr>
            <w:tcW w:w="1701" w:type="dxa"/>
            <w:shd w:val="clear" w:color="auto" w:fill="B9C9E7"/>
          </w:tcPr>
          <w:p>
            <w:pPr>
              <w:pStyle w:val="TableParagraph"/>
              <w:spacing w:before="0"/>
              <w:jc w:val="left"/>
              <w:rPr>
                <w:rFonts w:ascii="Times New Roman"/>
                <w:sz w:val="16"/>
              </w:rPr>
            </w:pPr>
          </w:p>
        </w:tc>
        <w:tc>
          <w:tcPr>
            <w:tcW w:w="1899" w:type="dxa"/>
            <w:shd w:val="clear" w:color="auto" w:fill="E5E9F6"/>
          </w:tcPr>
          <w:p>
            <w:pPr>
              <w:pStyle w:val="TableParagraph"/>
              <w:spacing w:before="122"/>
              <w:ind w:left="169" w:right="169"/>
              <w:rPr>
                <w:sz w:val="18"/>
              </w:rPr>
            </w:pPr>
            <w:r>
              <w:rPr>
                <w:sz w:val="18"/>
              </w:rPr>
              <w:t>Small: $500</w:t>
            </w:r>
          </w:p>
        </w:tc>
        <w:tc>
          <w:tcPr>
            <w:tcW w:w="1502" w:type="dxa"/>
          </w:tcPr>
          <w:p>
            <w:pPr>
              <w:pStyle w:val="TableParagraph"/>
              <w:spacing w:before="122"/>
              <w:rPr>
                <w:sz w:val="18"/>
              </w:rPr>
            </w:pPr>
            <w:r>
              <w:rPr>
                <w:w w:val="101"/>
                <w:sz w:val="18"/>
              </w:rPr>
              <w:t>1</w:t>
            </w:r>
          </w:p>
        </w:tc>
        <w:tc>
          <w:tcPr>
            <w:tcW w:w="1700" w:type="dxa"/>
          </w:tcPr>
          <w:p>
            <w:pPr>
              <w:pStyle w:val="TableParagraph"/>
              <w:spacing w:before="122"/>
              <w:ind w:left="1"/>
              <w:rPr>
                <w:sz w:val="18"/>
              </w:rPr>
            </w:pPr>
            <w:r>
              <w:rPr>
                <w:w w:val="101"/>
                <w:sz w:val="18"/>
              </w:rPr>
              <w:t>0</w:t>
            </w:r>
          </w:p>
        </w:tc>
        <w:tc>
          <w:tcPr>
            <w:tcW w:w="1700" w:type="dxa"/>
            <w:vMerge w:val="restart"/>
            <w:tcBorders>
              <w:bottom w:val="single" w:sz="4" w:space="0" w:color="1C75BC"/>
            </w:tcBorders>
            <w:shd w:val="clear" w:color="auto" w:fill="B9C9E7"/>
          </w:tcPr>
          <w:p>
            <w:pPr>
              <w:pStyle w:val="TableParagraph"/>
              <w:spacing w:before="0"/>
              <w:jc w:val="left"/>
              <w:rPr>
                <w:rFonts w:ascii="Arial"/>
                <w:sz w:val="22"/>
              </w:rPr>
            </w:pPr>
          </w:p>
          <w:p>
            <w:pPr>
              <w:pStyle w:val="TableParagraph"/>
              <w:spacing w:before="1"/>
              <w:jc w:val="left"/>
              <w:rPr>
                <w:rFonts w:ascii="Arial"/>
                <w:sz w:val="28"/>
              </w:rPr>
            </w:pPr>
          </w:p>
          <w:p>
            <w:pPr>
              <w:pStyle w:val="TableParagraph"/>
              <w:spacing w:before="0"/>
              <w:ind w:left="639" w:right="638"/>
              <w:rPr>
                <w:sz w:val="18"/>
              </w:rPr>
            </w:pPr>
            <w:r>
              <w:rPr>
                <w:w w:val="105"/>
                <w:sz w:val="18"/>
              </w:rPr>
              <w:t>54%</w:t>
            </w:r>
          </w:p>
        </w:tc>
      </w:tr>
      <w:tr>
        <w:trPr>
          <w:trHeight w:val="443" w:hRule="atLeast"/>
        </w:trPr>
        <w:tc>
          <w:tcPr>
            <w:tcW w:w="1701" w:type="dxa"/>
            <w:shd w:val="clear" w:color="auto" w:fill="B9C9E7"/>
          </w:tcPr>
          <w:p>
            <w:pPr>
              <w:pStyle w:val="TableParagraph"/>
              <w:spacing w:line="220" w:lineRule="atLeast" w:before="7"/>
              <w:ind w:left="169" w:right="36" w:hanging="17"/>
              <w:jc w:val="left"/>
              <w:rPr>
                <w:sz w:val="18"/>
              </w:rPr>
            </w:pPr>
            <w:r>
              <w:rPr>
                <w:sz w:val="18"/>
              </w:rPr>
              <w:t>Size of asbestos to be removed/price</w:t>
            </w:r>
          </w:p>
        </w:tc>
        <w:tc>
          <w:tcPr>
            <w:tcW w:w="1899" w:type="dxa"/>
          </w:tcPr>
          <w:p>
            <w:pPr>
              <w:pStyle w:val="TableParagraph"/>
              <w:spacing w:before="118"/>
              <w:ind w:left="169" w:right="169"/>
              <w:rPr>
                <w:sz w:val="18"/>
              </w:rPr>
            </w:pPr>
            <w:r>
              <w:rPr>
                <w:sz w:val="18"/>
              </w:rPr>
              <w:t>Medium: $2000</w:t>
            </w:r>
          </w:p>
        </w:tc>
        <w:tc>
          <w:tcPr>
            <w:tcW w:w="1502" w:type="dxa"/>
            <w:shd w:val="clear" w:color="auto" w:fill="E5E9F6"/>
          </w:tcPr>
          <w:p>
            <w:pPr>
              <w:pStyle w:val="TableParagraph"/>
              <w:spacing w:before="118"/>
              <w:rPr>
                <w:sz w:val="18"/>
              </w:rPr>
            </w:pPr>
            <w:r>
              <w:rPr>
                <w:w w:val="101"/>
                <w:sz w:val="18"/>
              </w:rPr>
              <w:t>2</w:t>
            </w:r>
          </w:p>
        </w:tc>
        <w:tc>
          <w:tcPr>
            <w:tcW w:w="1700" w:type="dxa"/>
            <w:shd w:val="clear" w:color="auto" w:fill="E98F73"/>
          </w:tcPr>
          <w:p>
            <w:pPr>
              <w:pStyle w:val="TableParagraph"/>
              <w:spacing w:before="118"/>
              <w:ind w:left="639" w:right="640"/>
              <w:rPr>
                <w:sz w:val="18"/>
              </w:rPr>
            </w:pPr>
            <w:r>
              <w:rPr>
                <w:sz w:val="18"/>
              </w:rPr>
              <w:t>-0.47</w:t>
            </w:r>
          </w:p>
        </w:tc>
        <w:tc>
          <w:tcPr>
            <w:tcW w:w="1700" w:type="dxa"/>
            <w:vMerge/>
            <w:tcBorders>
              <w:top w:val="nil"/>
              <w:bottom w:val="single" w:sz="4" w:space="0" w:color="1C75BC"/>
            </w:tcBorders>
            <w:shd w:val="clear" w:color="auto" w:fill="B9C9E7"/>
          </w:tcPr>
          <w:p>
            <w:pPr>
              <w:rPr>
                <w:sz w:val="2"/>
                <w:szCs w:val="2"/>
              </w:rPr>
            </w:pPr>
          </w:p>
        </w:tc>
      </w:tr>
      <w:tr>
        <w:trPr>
          <w:trHeight w:val="440" w:hRule="atLeast"/>
        </w:trPr>
        <w:tc>
          <w:tcPr>
            <w:tcW w:w="1701" w:type="dxa"/>
            <w:tcBorders>
              <w:bottom w:val="single" w:sz="4" w:space="0" w:color="1C75BC"/>
            </w:tcBorders>
            <w:shd w:val="clear" w:color="auto" w:fill="B9C9E7"/>
          </w:tcPr>
          <w:p>
            <w:pPr>
              <w:pStyle w:val="TableParagraph"/>
              <w:spacing w:before="0"/>
              <w:jc w:val="left"/>
              <w:rPr>
                <w:rFonts w:ascii="Times New Roman"/>
                <w:sz w:val="16"/>
              </w:rPr>
            </w:pPr>
          </w:p>
        </w:tc>
        <w:tc>
          <w:tcPr>
            <w:tcW w:w="1899" w:type="dxa"/>
            <w:tcBorders>
              <w:bottom w:val="single" w:sz="4" w:space="0" w:color="1C75BC"/>
            </w:tcBorders>
            <w:shd w:val="clear" w:color="auto" w:fill="E5E9F6"/>
          </w:tcPr>
          <w:p>
            <w:pPr>
              <w:pStyle w:val="TableParagraph"/>
              <w:spacing w:before="114"/>
              <w:ind w:left="169" w:right="169"/>
              <w:rPr>
                <w:sz w:val="18"/>
              </w:rPr>
            </w:pPr>
            <w:r>
              <w:rPr>
                <w:sz w:val="18"/>
              </w:rPr>
              <w:t>Large: $5000</w:t>
            </w:r>
          </w:p>
        </w:tc>
        <w:tc>
          <w:tcPr>
            <w:tcW w:w="1502" w:type="dxa"/>
            <w:tcBorders>
              <w:bottom w:val="single" w:sz="4" w:space="0" w:color="1C75BC"/>
            </w:tcBorders>
          </w:tcPr>
          <w:p>
            <w:pPr>
              <w:pStyle w:val="TableParagraph"/>
              <w:spacing w:before="114"/>
              <w:rPr>
                <w:sz w:val="18"/>
              </w:rPr>
            </w:pPr>
            <w:r>
              <w:rPr>
                <w:w w:val="101"/>
                <w:sz w:val="18"/>
              </w:rPr>
              <w:t>3</w:t>
            </w:r>
          </w:p>
        </w:tc>
        <w:tc>
          <w:tcPr>
            <w:tcW w:w="1700" w:type="dxa"/>
            <w:shd w:val="clear" w:color="auto" w:fill="E05E44"/>
          </w:tcPr>
          <w:p>
            <w:pPr>
              <w:pStyle w:val="TableParagraph"/>
              <w:spacing w:before="114"/>
              <w:ind w:left="639" w:right="641"/>
              <w:rPr>
                <w:sz w:val="18"/>
              </w:rPr>
            </w:pPr>
            <w:r>
              <w:rPr>
                <w:sz w:val="18"/>
              </w:rPr>
              <w:t>-0.76</w:t>
            </w:r>
          </w:p>
        </w:tc>
        <w:tc>
          <w:tcPr>
            <w:tcW w:w="1700" w:type="dxa"/>
            <w:vMerge/>
            <w:tcBorders>
              <w:top w:val="nil"/>
              <w:bottom w:val="single" w:sz="4" w:space="0" w:color="1C75BC"/>
            </w:tcBorders>
            <w:shd w:val="clear" w:color="auto" w:fill="B9C9E7"/>
          </w:tcPr>
          <w:p>
            <w:pPr>
              <w:rPr>
                <w:sz w:val="2"/>
                <w:szCs w:val="2"/>
              </w:rPr>
            </w:pPr>
          </w:p>
        </w:tc>
      </w:tr>
      <w:tr>
        <w:trPr>
          <w:trHeight w:val="443" w:hRule="atLeast"/>
        </w:trPr>
        <w:tc>
          <w:tcPr>
            <w:tcW w:w="1701" w:type="dxa"/>
            <w:tcBorders>
              <w:top w:val="single" w:sz="4" w:space="0" w:color="1C75BC"/>
            </w:tcBorders>
            <w:shd w:val="clear" w:color="auto" w:fill="E5E9F6"/>
          </w:tcPr>
          <w:p>
            <w:pPr>
              <w:pStyle w:val="TableParagraph"/>
              <w:spacing w:before="0"/>
              <w:jc w:val="left"/>
              <w:rPr>
                <w:rFonts w:ascii="Times New Roman"/>
                <w:sz w:val="16"/>
              </w:rPr>
            </w:pPr>
          </w:p>
        </w:tc>
        <w:tc>
          <w:tcPr>
            <w:tcW w:w="1899" w:type="dxa"/>
            <w:tcBorders>
              <w:top w:val="single" w:sz="4" w:space="0" w:color="1C75BC"/>
            </w:tcBorders>
          </w:tcPr>
          <w:p>
            <w:pPr>
              <w:pStyle w:val="TableParagraph"/>
              <w:spacing w:before="117"/>
              <w:ind w:left="169" w:right="169"/>
              <w:rPr>
                <w:sz w:val="18"/>
              </w:rPr>
            </w:pPr>
            <w:r>
              <w:rPr>
                <w:sz w:val="18"/>
              </w:rPr>
              <w:t>Free disposal</w:t>
            </w:r>
          </w:p>
        </w:tc>
        <w:tc>
          <w:tcPr>
            <w:tcW w:w="1502" w:type="dxa"/>
            <w:tcBorders>
              <w:top w:val="single" w:sz="4" w:space="0" w:color="1C75BC"/>
            </w:tcBorders>
            <w:shd w:val="clear" w:color="auto" w:fill="E5E9F6"/>
          </w:tcPr>
          <w:p>
            <w:pPr>
              <w:pStyle w:val="TableParagraph"/>
              <w:spacing w:before="117"/>
              <w:rPr>
                <w:sz w:val="18"/>
              </w:rPr>
            </w:pPr>
            <w:r>
              <w:rPr>
                <w:w w:val="101"/>
                <w:sz w:val="18"/>
              </w:rPr>
              <w:t>1</w:t>
            </w:r>
          </w:p>
        </w:tc>
        <w:tc>
          <w:tcPr>
            <w:tcW w:w="1700" w:type="dxa"/>
            <w:shd w:val="clear" w:color="auto" w:fill="1C75BC"/>
          </w:tcPr>
          <w:p>
            <w:pPr>
              <w:pStyle w:val="TableParagraph"/>
              <w:spacing w:before="117"/>
              <w:ind w:left="639" w:right="638"/>
              <w:rPr>
                <w:sz w:val="18"/>
              </w:rPr>
            </w:pPr>
            <w:r>
              <w:rPr>
                <w:sz w:val="18"/>
              </w:rPr>
              <w:t>0.46</w:t>
            </w:r>
          </w:p>
        </w:tc>
        <w:tc>
          <w:tcPr>
            <w:tcW w:w="1700" w:type="dxa"/>
            <w:vMerge w:val="restart"/>
            <w:tcBorders>
              <w:top w:val="single" w:sz="4" w:space="0" w:color="1C75BC"/>
              <w:bottom w:val="single" w:sz="4" w:space="0" w:color="1C75BC"/>
            </w:tcBorders>
            <w:shd w:val="clear" w:color="auto" w:fill="E5E9F6"/>
          </w:tcPr>
          <w:p>
            <w:pPr>
              <w:pStyle w:val="TableParagraph"/>
              <w:spacing w:before="0"/>
              <w:jc w:val="left"/>
              <w:rPr>
                <w:rFonts w:ascii="Arial"/>
                <w:sz w:val="22"/>
              </w:rPr>
            </w:pPr>
          </w:p>
          <w:p>
            <w:pPr>
              <w:pStyle w:val="TableParagraph"/>
              <w:spacing w:before="0"/>
              <w:jc w:val="left"/>
              <w:rPr>
                <w:rFonts w:ascii="Arial"/>
                <w:sz w:val="22"/>
              </w:rPr>
            </w:pPr>
          </w:p>
          <w:p>
            <w:pPr>
              <w:pStyle w:val="TableParagraph"/>
              <w:spacing w:before="0"/>
              <w:jc w:val="left"/>
              <w:rPr>
                <w:rFonts w:ascii="Arial"/>
                <w:sz w:val="22"/>
              </w:rPr>
            </w:pPr>
          </w:p>
          <w:p>
            <w:pPr>
              <w:pStyle w:val="TableParagraph"/>
              <w:spacing w:before="8"/>
              <w:jc w:val="left"/>
              <w:rPr>
                <w:rFonts w:ascii="Arial"/>
                <w:sz w:val="23"/>
              </w:rPr>
            </w:pPr>
          </w:p>
          <w:p>
            <w:pPr>
              <w:pStyle w:val="TableParagraph"/>
              <w:spacing w:before="1"/>
              <w:ind w:left="639" w:right="636"/>
              <w:rPr>
                <w:sz w:val="18"/>
              </w:rPr>
            </w:pPr>
            <w:r>
              <w:rPr>
                <w:w w:val="105"/>
                <w:sz w:val="18"/>
              </w:rPr>
              <w:t>33%</w:t>
            </w:r>
          </w:p>
        </w:tc>
      </w:tr>
      <w:tr>
        <w:trPr>
          <w:trHeight w:val="458" w:hRule="atLeast"/>
        </w:trPr>
        <w:tc>
          <w:tcPr>
            <w:tcW w:w="3600" w:type="dxa"/>
            <w:gridSpan w:val="2"/>
            <w:shd w:val="clear" w:color="auto" w:fill="E5E9F6"/>
          </w:tcPr>
          <w:p>
            <w:pPr>
              <w:pStyle w:val="TableParagraph"/>
              <w:spacing w:line="220" w:lineRule="atLeast" w:before="15"/>
              <w:ind w:left="2218" w:right="461" w:hanging="44"/>
              <w:jc w:val="left"/>
              <w:rPr>
                <w:sz w:val="18"/>
              </w:rPr>
            </w:pPr>
            <w:r>
              <w:rPr>
                <w:w w:val="105"/>
                <w:sz w:val="18"/>
              </w:rPr>
              <w:t>50% subsidy on removal</w:t>
            </w:r>
          </w:p>
        </w:tc>
        <w:tc>
          <w:tcPr>
            <w:tcW w:w="1502" w:type="dxa"/>
          </w:tcPr>
          <w:p>
            <w:pPr>
              <w:pStyle w:val="TableParagraph"/>
              <w:spacing w:before="125"/>
              <w:rPr>
                <w:sz w:val="18"/>
              </w:rPr>
            </w:pPr>
            <w:r>
              <w:rPr>
                <w:w w:val="101"/>
                <w:sz w:val="18"/>
              </w:rPr>
              <w:t>2</w:t>
            </w:r>
          </w:p>
        </w:tc>
        <w:tc>
          <w:tcPr>
            <w:tcW w:w="1700" w:type="dxa"/>
            <w:shd w:val="clear" w:color="auto" w:fill="5688C7"/>
          </w:tcPr>
          <w:p>
            <w:pPr>
              <w:pStyle w:val="TableParagraph"/>
              <w:spacing w:before="125"/>
              <w:ind w:left="639" w:right="640"/>
              <w:rPr>
                <w:sz w:val="18"/>
              </w:rPr>
            </w:pPr>
            <w:r>
              <w:rPr>
                <w:sz w:val="18"/>
              </w:rPr>
              <w:t>0.32</w:t>
            </w:r>
          </w:p>
        </w:tc>
        <w:tc>
          <w:tcPr>
            <w:tcW w:w="1700" w:type="dxa"/>
            <w:vMerge/>
            <w:tcBorders>
              <w:top w:val="nil"/>
              <w:bottom w:val="single" w:sz="4" w:space="0" w:color="1C75BC"/>
            </w:tcBorders>
            <w:shd w:val="clear" w:color="auto" w:fill="E5E9F6"/>
          </w:tcPr>
          <w:p>
            <w:pPr>
              <w:rPr>
                <w:sz w:val="2"/>
                <w:szCs w:val="2"/>
              </w:rPr>
            </w:pPr>
          </w:p>
        </w:tc>
      </w:tr>
      <w:tr>
        <w:trPr>
          <w:trHeight w:val="443" w:hRule="atLeast"/>
        </w:trPr>
        <w:tc>
          <w:tcPr>
            <w:tcW w:w="1701" w:type="dxa"/>
            <w:shd w:val="clear" w:color="auto" w:fill="E5E9F6"/>
          </w:tcPr>
          <w:p>
            <w:pPr>
              <w:pStyle w:val="TableParagraph"/>
              <w:spacing w:line="220" w:lineRule="atLeast" w:before="0"/>
              <w:ind w:left="520" w:right="36" w:hanging="152"/>
              <w:jc w:val="left"/>
              <w:rPr>
                <w:sz w:val="18"/>
              </w:rPr>
            </w:pPr>
            <w:r>
              <w:rPr>
                <w:sz w:val="18"/>
              </w:rPr>
              <w:t>Government initiative</w:t>
            </w:r>
          </w:p>
        </w:tc>
        <w:tc>
          <w:tcPr>
            <w:tcW w:w="1899" w:type="dxa"/>
          </w:tcPr>
          <w:p>
            <w:pPr>
              <w:pStyle w:val="TableParagraph"/>
              <w:spacing w:before="117"/>
              <w:ind w:left="169" w:right="169"/>
              <w:rPr>
                <w:sz w:val="18"/>
              </w:rPr>
            </w:pPr>
            <w:r>
              <w:rPr>
                <w:w w:val="105"/>
                <w:sz w:val="18"/>
              </w:rPr>
              <w:t>Tax concession</w:t>
            </w:r>
          </w:p>
        </w:tc>
        <w:tc>
          <w:tcPr>
            <w:tcW w:w="1502" w:type="dxa"/>
            <w:shd w:val="clear" w:color="auto" w:fill="E5E9F6"/>
          </w:tcPr>
          <w:p>
            <w:pPr>
              <w:pStyle w:val="TableParagraph"/>
              <w:spacing w:before="117"/>
              <w:rPr>
                <w:sz w:val="18"/>
              </w:rPr>
            </w:pPr>
            <w:r>
              <w:rPr>
                <w:w w:val="101"/>
                <w:sz w:val="18"/>
              </w:rPr>
              <w:t>3</w:t>
            </w:r>
          </w:p>
        </w:tc>
        <w:tc>
          <w:tcPr>
            <w:tcW w:w="1700" w:type="dxa"/>
            <w:shd w:val="clear" w:color="auto" w:fill="91ACDA"/>
          </w:tcPr>
          <w:p>
            <w:pPr>
              <w:pStyle w:val="TableParagraph"/>
              <w:spacing w:before="117"/>
              <w:ind w:left="639" w:right="643"/>
              <w:rPr>
                <w:sz w:val="18"/>
              </w:rPr>
            </w:pPr>
            <w:r>
              <w:rPr>
                <w:sz w:val="18"/>
              </w:rPr>
              <w:t>0.31</w:t>
            </w:r>
          </w:p>
        </w:tc>
        <w:tc>
          <w:tcPr>
            <w:tcW w:w="1700" w:type="dxa"/>
            <w:vMerge/>
            <w:tcBorders>
              <w:top w:val="nil"/>
              <w:bottom w:val="single" w:sz="4" w:space="0" w:color="1C75BC"/>
            </w:tcBorders>
            <w:shd w:val="clear" w:color="auto" w:fill="E5E9F6"/>
          </w:tcPr>
          <w:p>
            <w:pPr>
              <w:rPr>
                <w:sz w:val="2"/>
                <w:szCs w:val="2"/>
              </w:rPr>
            </w:pPr>
          </w:p>
        </w:tc>
      </w:tr>
      <w:tr>
        <w:trPr>
          <w:trHeight w:val="443" w:hRule="atLeast"/>
        </w:trPr>
        <w:tc>
          <w:tcPr>
            <w:tcW w:w="3600" w:type="dxa"/>
            <w:gridSpan w:val="2"/>
            <w:shd w:val="clear" w:color="auto" w:fill="E5E9F6"/>
          </w:tcPr>
          <w:p>
            <w:pPr>
              <w:pStyle w:val="TableParagraph"/>
              <w:spacing w:before="118"/>
              <w:ind w:left="2002"/>
              <w:jc w:val="left"/>
              <w:rPr>
                <w:sz w:val="18"/>
              </w:rPr>
            </w:pPr>
            <w:r>
              <w:rPr>
                <w:sz w:val="18"/>
              </w:rPr>
              <w:t>Interest free loan</w:t>
            </w:r>
          </w:p>
        </w:tc>
        <w:tc>
          <w:tcPr>
            <w:tcW w:w="1502" w:type="dxa"/>
          </w:tcPr>
          <w:p>
            <w:pPr>
              <w:pStyle w:val="TableParagraph"/>
              <w:spacing w:before="118"/>
              <w:rPr>
                <w:sz w:val="18"/>
              </w:rPr>
            </w:pPr>
            <w:r>
              <w:rPr>
                <w:w w:val="101"/>
                <w:sz w:val="18"/>
              </w:rPr>
              <w:t>4</w:t>
            </w:r>
          </w:p>
        </w:tc>
        <w:tc>
          <w:tcPr>
            <w:tcW w:w="1700" w:type="dxa"/>
            <w:shd w:val="clear" w:color="auto" w:fill="C4D0EB"/>
          </w:tcPr>
          <w:p>
            <w:pPr>
              <w:pStyle w:val="TableParagraph"/>
              <w:spacing w:before="118"/>
              <w:ind w:left="639" w:right="640"/>
              <w:rPr>
                <w:sz w:val="18"/>
              </w:rPr>
            </w:pPr>
            <w:r>
              <w:rPr>
                <w:sz w:val="18"/>
              </w:rPr>
              <w:t>0.24</w:t>
            </w:r>
          </w:p>
        </w:tc>
        <w:tc>
          <w:tcPr>
            <w:tcW w:w="1700" w:type="dxa"/>
            <w:vMerge/>
            <w:tcBorders>
              <w:top w:val="nil"/>
              <w:bottom w:val="single" w:sz="4" w:space="0" w:color="1C75BC"/>
            </w:tcBorders>
            <w:shd w:val="clear" w:color="auto" w:fill="E5E9F6"/>
          </w:tcPr>
          <w:p>
            <w:pPr>
              <w:rPr>
                <w:sz w:val="2"/>
                <w:szCs w:val="2"/>
              </w:rPr>
            </w:pPr>
          </w:p>
        </w:tc>
      </w:tr>
      <w:tr>
        <w:trPr>
          <w:trHeight w:val="443" w:hRule="atLeast"/>
        </w:trPr>
        <w:tc>
          <w:tcPr>
            <w:tcW w:w="1701" w:type="dxa"/>
            <w:tcBorders>
              <w:bottom w:val="single" w:sz="4" w:space="0" w:color="1C75BC"/>
            </w:tcBorders>
            <w:shd w:val="clear" w:color="auto" w:fill="E5E9F6"/>
          </w:tcPr>
          <w:p>
            <w:pPr>
              <w:pStyle w:val="TableParagraph"/>
              <w:spacing w:before="0"/>
              <w:jc w:val="left"/>
              <w:rPr>
                <w:rFonts w:ascii="Times New Roman"/>
                <w:sz w:val="16"/>
              </w:rPr>
            </w:pPr>
          </w:p>
        </w:tc>
        <w:tc>
          <w:tcPr>
            <w:tcW w:w="1899" w:type="dxa"/>
            <w:tcBorders>
              <w:bottom w:val="single" w:sz="4" w:space="0" w:color="1C75BC"/>
            </w:tcBorders>
          </w:tcPr>
          <w:p>
            <w:pPr>
              <w:pStyle w:val="TableParagraph"/>
              <w:spacing w:before="118"/>
              <w:ind w:left="169" w:right="169"/>
              <w:rPr>
                <w:sz w:val="18"/>
              </w:rPr>
            </w:pPr>
            <w:r>
              <w:rPr>
                <w:w w:val="105"/>
                <w:sz w:val="18"/>
              </w:rPr>
              <w:t>No initiative</w:t>
            </w:r>
          </w:p>
        </w:tc>
        <w:tc>
          <w:tcPr>
            <w:tcW w:w="1502" w:type="dxa"/>
            <w:tcBorders>
              <w:bottom w:val="single" w:sz="4" w:space="0" w:color="1C75BC"/>
            </w:tcBorders>
            <w:shd w:val="clear" w:color="auto" w:fill="E5E9F6"/>
          </w:tcPr>
          <w:p>
            <w:pPr>
              <w:pStyle w:val="TableParagraph"/>
              <w:spacing w:before="118"/>
              <w:rPr>
                <w:sz w:val="18"/>
              </w:rPr>
            </w:pPr>
            <w:r>
              <w:rPr>
                <w:w w:val="101"/>
                <w:sz w:val="18"/>
              </w:rPr>
              <w:t>5</w:t>
            </w:r>
          </w:p>
        </w:tc>
        <w:tc>
          <w:tcPr>
            <w:tcW w:w="1700" w:type="dxa"/>
            <w:tcBorders>
              <w:bottom w:val="single" w:sz="4" w:space="0" w:color="1C75BC"/>
            </w:tcBorders>
          </w:tcPr>
          <w:p>
            <w:pPr>
              <w:pStyle w:val="TableParagraph"/>
              <w:spacing w:before="118"/>
              <w:ind w:left="1"/>
              <w:rPr>
                <w:sz w:val="18"/>
              </w:rPr>
            </w:pPr>
            <w:r>
              <w:rPr>
                <w:w w:val="101"/>
                <w:sz w:val="18"/>
              </w:rPr>
              <w:t>0</w:t>
            </w:r>
          </w:p>
        </w:tc>
        <w:tc>
          <w:tcPr>
            <w:tcW w:w="1700" w:type="dxa"/>
            <w:vMerge/>
            <w:tcBorders>
              <w:top w:val="nil"/>
              <w:bottom w:val="single" w:sz="4" w:space="0" w:color="1C75BC"/>
            </w:tcBorders>
            <w:shd w:val="clear" w:color="auto" w:fill="E5E9F6"/>
          </w:tcPr>
          <w:p>
            <w:pPr>
              <w:rPr>
                <w:sz w:val="2"/>
                <w:szCs w:val="2"/>
              </w:rPr>
            </w:pPr>
          </w:p>
        </w:tc>
      </w:tr>
      <w:tr>
        <w:trPr>
          <w:trHeight w:val="443" w:hRule="atLeast"/>
        </w:trPr>
        <w:tc>
          <w:tcPr>
            <w:tcW w:w="1701" w:type="dxa"/>
            <w:tcBorders>
              <w:top w:val="single" w:sz="4" w:space="0" w:color="1C75BC"/>
            </w:tcBorders>
            <w:shd w:val="clear" w:color="auto" w:fill="B9C9E7"/>
          </w:tcPr>
          <w:p>
            <w:pPr>
              <w:pStyle w:val="TableParagraph"/>
              <w:spacing w:before="0"/>
              <w:jc w:val="left"/>
              <w:rPr>
                <w:rFonts w:ascii="Times New Roman"/>
                <w:sz w:val="16"/>
              </w:rPr>
            </w:pPr>
          </w:p>
        </w:tc>
        <w:tc>
          <w:tcPr>
            <w:tcW w:w="1899" w:type="dxa"/>
            <w:tcBorders>
              <w:top w:val="single" w:sz="4" w:space="0" w:color="1C75BC"/>
            </w:tcBorders>
            <w:shd w:val="clear" w:color="auto" w:fill="E5E9F6"/>
          </w:tcPr>
          <w:p>
            <w:pPr>
              <w:pStyle w:val="TableParagraph"/>
              <w:spacing w:before="117"/>
              <w:ind w:left="169" w:right="169"/>
              <w:rPr>
                <w:sz w:val="18"/>
              </w:rPr>
            </w:pPr>
            <w:r>
              <w:rPr>
                <w:sz w:val="18"/>
              </w:rPr>
              <w:t>Bathroom</w:t>
            </w:r>
          </w:p>
        </w:tc>
        <w:tc>
          <w:tcPr>
            <w:tcW w:w="1502" w:type="dxa"/>
            <w:tcBorders>
              <w:top w:val="single" w:sz="4" w:space="0" w:color="1C75BC"/>
            </w:tcBorders>
          </w:tcPr>
          <w:p>
            <w:pPr>
              <w:pStyle w:val="TableParagraph"/>
              <w:spacing w:before="117"/>
              <w:rPr>
                <w:sz w:val="18"/>
              </w:rPr>
            </w:pPr>
            <w:r>
              <w:rPr>
                <w:w w:val="101"/>
                <w:sz w:val="18"/>
              </w:rPr>
              <w:t>1</w:t>
            </w:r>
          </w:p>
        </w:tc>
        <w:tc>
          <w:tcPr>
            <w:tcW w:w="1700" w:type="dxa"/>
            <w:tcBorders>
              <w:top w:val="single" w:sz="4" w:space="0" w:color="1C75BC"/>
            </w:tcBorders>
            <w:shd w:val="clear" w:color="auto" w:fill="DAE1F2"/>
          </w:tcPr>
          <w:p>
            <w:pPr>
              <w:pStyle w:val="TableParagraph"/>
              <w:spacing w:before="117"/>
              <w:ind w:left="639" w:right="640"/>
              <w:rPr>
                <w:sz w:val="18"/>
              </w:rPr>
            </w:pPr>
            <w:r>
              <w:rPr>
                <w:sz w:val="18"/>
              </w:rPr>
              <w:t>0.07</w:t>
            </w:r>
          </w:p>
        </w:tc>
        <w:tc>
          <w:tcPr>
            <w:tcW w:w="1700" w:type="dxa"/>
            <w:vMerge w:val="restart"/>
            <w:tcBorders>
              <w:top w:val="single" w:sz="4" w:space="0" w:color="1C75BC"/>
              <w:bottom w:val="single" w:sz="4" w:space="0" w:color="1C75BC"/>
            </w:tcBorders>
            <w:shd w:val="clear" w:color="auto" w:fill="B9C9E7"/>
          </w:tcPr>
          <w:p>
            <w:pPr>
              <w:pStyle w:val="TableParagraph"/>
              <w:spacing w:before="0"/>
              <w:jc w:val="left"/>
              <w:rPr>
                <w:rFonts w:ascii="Arial"/>
                <w:sz w:val="22"/>
              </w:rPr>
            </w:pPr>
          </w:p>
          <w:p>
            <w:pPr>
              <w:pStyle w:val="TableParagraph"/>
              <w:spacing w:before="0"/>
              <w:jc w:val="left"/>
              <w:rPr>
                <w:rFonts w:ascii="Arial"/>
                <w:sz w:val="22"/>
              </w:rPr>
            </w:pPr>
          </w:p>
          <w:p>
            <w:pPr>
              <w:pStyle w:val="TableParagraph"/>
              <w:spacing w:before="0"/>
              <w:jc w:val="left"/>
              <w:rPr>
                <w:rFonts w:ascii="Arial"/>
                <w:sz w:val="26"/>
              </w:rPr>
            </w:pPr>
          </w:p>
          <w:p>
            <w:pPr>
              <w:pStyle w:val="TableParagraph"/>
              <w:spacing w:before="0"/>
              <w:ind w:left="639" w:right="636"/>
              <w:rPr>
                <w:sz w:val="18"/>
              </w:rPr>
            </w:pPr>
            <w:r>
              <w:rPr>
                <w:w w:val="105"/>
                <w:sz w:val="18"/>
              </w:rPr>
              <w:t>14%</w:t>
            </w:r>
          </w:p>
        </w:tc>
      </w:tr>
      <w:tr>
        <w:trPr>
          <w:trHeight w:val="458" w:hRule="atLeast"/>
        </w:trPr>
        <w:tc>
          <w:tcPr>
            <w:tcW w:w="1701" w:type="dxa"/>
            <w:shd w:val="clear" w:color="auto" w:fill="B9C9E7"/>
          </w:tcPr>
          <w:p>
            <w:pPr>
              <w:pStyle w:val="TableParagraph"/>
              <w:spacing w:before="7"/>
              <w:jc w:val="left"/>
              <w:rPr>
                <w:rFonts w:ascii="Arial"/>
                <w:sz w:val="30"/>
              </w:rPr>
            </w:pPr>
          </w:p>
          <w:p>
            <w:pPr>
              <w:pStyle w:val="TableParagraph"/>
              <w:spacing w:line="86" w:lineRule="exact" w:before="0"/>
              <w:ind w:left="84" w:right="84"/>
              <w:rPr>
                <w:sz w:val="18"/>
              </w:rPr>
            </w:pPr>
            <w:r>
              <w:rPr>
                <w:sz w:val="18"/>
              </w:rPr>
              <w:t>Location of asbestos</w:t>
            </w:r>
          </w:p>
        </w:tc>
        <w:tc>
          <w:tcPr>
            <w:tcW w:w="1899" w:type="dxa"/>
            <w:shd w:val="clear" w:color="auto" w:fill="E5E9F6"/>
          </w:tcPr>
          <w:p>
            <w:pPr>
              <w:pStyle w:val="TableParagraph"/>
              <w:spacing w:line="220" w:lineRule="atLeast" w:before="15"/>
              <w:ind w:left="314" w:right="312" w:firstLine="344"/>
              <w:jc w:val="left"/>
              <w:rPr>
                <w:sz w:val="18"/>
              </w:rPr>
            </w:pPr>
            <w:r>
              <w:rPr>
                <w:sz w:val="18"/>
              </w:rPr>
              <w:t>Kitchen splash-back area</w:t>
            </w:r>
          </w:p>
        </w:tc>
        <w:tc>
          <w:tcPr>
            <w:tcW w:w="1502" w:type="dxa"/>
            <w:shd w:val="clear" w:color="auto" w:fill="E5E9F6"/>
          </w:tcPr>
          <w:p>
            <w:pPr>
              <w:pStyle w:val="TableParagraph"/>
              <w:spacing w:before="125"/>
              <w:rPr>
                <w:sz w:val="18"/>
              </w:rPr>
            </w:pPr>
            <w:r>
              <w:rPr>
                <w:w w:val="101"/>
                <w:sz w:val="18"/>
              </w:rPr>
              <w:t>2</w:t>
            </w:r>
          </w:p>
        </w:tc>
        <w:tc>
          <w:tcPr>
            <w:tcW w:w="1700" w:type="dxa"/>
          </w:tcPr>
          <w:p>
            <w:pPr>
              <w:pStyle w:val="TableParagraph"/>
              <w:spacing w:before="125"/>
              <w:ind w:left="1"/>
              <w:rPr>
                <w:sz w:val="18"/>
              </w:rPr>
            </w:pPr>
            <w:r>
              <w:rPr>
                <w:w w:val="101"/>
                <w:sz w:val="18"/>
              </w:rPr>
              <w:t>0</w:t>
            </w:r>
          </w:p>
        </w:tc>
        <w:tc>
          <w:tcPr>
            <w:tcW w:w="1700" w:type="dxa"/>
            <w:vMerge/>
            <w:tcBorders>
              <w:top w:val="nil"/>
              <w:bottom w:val="single" w:sz="4" w:space="0" w:color="1C75BC"/>
            </w:tcBorders>
            <w:shd w:val="clear" w:color="auto" w:fill="B9C9E7"/>
          </w:tcPr>
          <w:p>
            <w:pPr>
              <w:rPr>
                <w:sz w:val="2"/>
                <w:szCs w:val="2"/>
              </w:rPr>
            </w:pPr>
          </w:p>
        </w:tc>
      </w:tr>
      <w:tr>
        <w:trPr>
          <w:trHeight w:val="443" w:hRule="atLeast"/>
        </w:trPr>
        <w:tc>
          <w:tcPr>
            <w:tcW w:w="1701" w:type="dxa"/>
            <w:shd w:val="clear" w:color="auto" w:fill="B9C9E7"/>
          </w:tcPr>
          <w:p>
            <w:pPr>
              <w:pStyle w:val="TableParagraph"/>
              <w:spacing w:before="0"/>
              <w:jc w:val="left"/>
              <w:rPr>
                <w:rFonts w:ascii="Times New Roman"/>
                <w:sz w:val="16"/>
              </w:rPr>
            </w:pPr>
          </w:p>
        </w:tc>
        <w:tc>
          <w:tcPr>
            <w:tcW w:w="1899" w:type="dxa"/>
            <w:shd w:val="clear" w:color="auto" w:fill="E5E9F6"/>
          </w:tcPr>
          <w:p>
            <w:pPr>
              <w:pStyle w:val="TableParagraph"/>
              <w:spacing w:before="118"/>
              <w:ind w:left="171" w:right="169"/>
              <w:rPr>
                <w:sz w:val="18"/>
              </w:rPr>
            </w:pPr>
            <w:r>
              <w:rPr>
                <w:w w:val="105"/>
                <w:sz w:val="18"/>
              </w:rPr>
              <w:t>Eaves and guttering</w:t>
            </w:r>
          </w:p>
        </w:tc>
        <w:tc>
          <w:tcPr>
            <w:tcW w:w="1502" w:type="dxa"/>
          </w:tcPr>
          <w:p>
            <w:pPr>
              <w:pStyle w:val="TableParagraph"/>
              <w:spacing w:before="118"/>
              <w:ind w:left="1"/>
              <w:rPr>
                <w:sz w:val="18"/>
              </w:rPr>
            </w:pPr>
            <w:r>
              <w:rPr>
                <w:w w:val="101"/>
                <w:sz w:val="18"/>
              </w:rPr>
              <w:t>3</w:t>
            </w:r>
          </w:p>
        </w:tc>
        <w:tc>
          <w:tcPr>
            <w:tcW w:w="1700" w:type="dxa"/>
            <w:shd w:val="clear" w:color="auto" w:fill="F8D8CA"/>
          </w:tcPr>
          <w:p>
            <w:pPr>
              <w:pStyle w:val="TableParagraph"/>
              <w:spacing w:before="118"/>
              <w:ind w:left="639" w:right="640"/>
              <w:rPr>
                <w:sz w:val="18"/>
              </w:rPr>
            </w:pPr>
            <w:r>
              <w:rPr>
                <w:sz w:val="18"/>
              </w:rPr>
              <w:t>-0.07</w:t>
            </w:r>
          </w:p>
        </w:tc>
        <w:tc>
          <w:tcPr>
            <w:tcW w:w="1700" w:type="dxa"/>
            <w:vMerge/>
            <w:tcBorders>
              <w:top w:val="nil"/>
              <w:bottom w:val="single" w:sz="4" w:space="0" w:color="1C75BC"/>
            </w:tcBorders>
            <w:shd w:val="clear" w:color="auto" w:fill="B9C9E7"/>
          </w:tcPr>
          <w:p>
            <w:pPr>
              <w:rPr>
                <w:sz w:val="2"/>
                <w:szCs w:val="2"/>
              </w:rPr>
            </w:pPr>
          </w:p>
        </w:tc>
      </w:tr>
      <w:tr>
        <w:trPr>
          <w:trHeight w:val="443" w:hRule="atLeast"/>
        </w:trPr>
        <w:tc>
          <w:tcPr>
            <w:tcW w:w="1701" w:type="dxa"/>
            <w:tcBorders>
              <w:bottom w:val="single" w:sz="4" w:space="0" w:color="1C75BC"/>
            </w:tcBorders>
            <w:shd w:val="clear" w:color="auto" w:fill="B9C9E7"/>
          </w:tcPr>
          <w:p>
            <w:pPr>
              <w:pStyle w:val="TableParagraph"/>
              <w:spacing w:before="0"/>
              <w:jc w:val="left"/>
              <w:rPr>
                <w:rFonts w:ascii="Times New Roman"/>
                <w:sz w:val="16"/>
              </w:rPr>
            </w:pPr>
          </w:p>
        </w:tc>
        <w:tc>
          <w:tcPr>
            <w:tcW w:w="1899" w:type="dxa"/>
            <w:tcBorders>
              <w:bottom w:val="single" w:sz="4" w:space="0" w:color="1C75BC"/>
            </w:tcBorders>
            <w:shd w:val="clear" w:color="auto" w:fill="E5E9F6"/>
          </w:tcPr>
          <w:p>
            <w:pPr>
              <w:pStyle w:val="TableParagraph"/>
              <w:spacing w:before="118"/>
              <w:ind w:left="169" w:right="169"/>
              <w:rPr>
                <w:sz w:val="18"/>
              </w:rPr>
            </w:pPr>
            <w:r>
              <w:rPr>
                <w:w w:val="105"/>
                <w:sz w:val="18"/>
              </w:rPr>
              <w:t>Fencing or shed</w:t>
            </w:r>
          </w:p>
        </w:tc>
        <w:tc>
          <w:tcPr>
            <w:tcW w:w="1502" w:type="dxa"/>
            <w:tcBorders>
              <w:bottom w:val="single" w:sz="4" w:space="0" w:color="1C75BC"/>
            </w:tcBorders>
            <w:shd w:val="clear" w:color="auto" w:fill="E5E9F6"/>
          </w:tcPr>
          <w:p>
            <w:pPr>
              <w:pStyle w:val="TableParagraph"/>
              <w:spacing w:before="118"/>
              <w:ind w:left="1"/>
              <w:rPr>
                <w:sz w:val="18"/>
              </w:rPr>
            </w:pPr>
            <w:r>
              <w:rPr>
                <w:w w:val="101"/>
                <w:sz w:val="18"/>
              </w:rPr>
              <w:t>4</w:t>
            </w:r>
          </w:p>
        </w:tc>
        <w:tc>
          <w:tcPr>
            <w:tcW w:w="1700" w:type="dxa"/>
            <w:tcBorders>
              <w:bottom w:val="single" w:sz="4" w:space="0" w:color="1C75BC"/>
            </w:tcBorders>
            <w:shd w:val="clear" w:color="auto" w:fill="F6CDBC"/>
          </w:tcPr>
          <w:p>
            <w:pPr>
              <w:pStyle w:val="TableParagraph"/>
              <w:spacing w:before="118"/>
              <w:ind w:left="637" w:right="643"/>
              <w:rPr>
                <w:sz w:val="18"/>
              </w:rPr>
            </w:pPr>
            <w:r>
              <w:rPr>
                <w:sz w:val="18"/>
              </w:rPr>
              <w:t>-0.13</w:t>
            </w:r>
          </w:p>
        </w:tc>
        <w:tc>
          <w:tcPr>
            <w:tcW w:w="1700" w:type="dxa"/>
            <w:vMerge/>
            <w:tcBorders>
              <w:top w:val="nil"/>
              <w:bottom w:val="single" w:sz="4" w:space="0" w:color="1C75BC"/>
            </w:tcBorders>
            <w:shd w:val="clear" w:color="auto" w:fill="B9C9E7"/>
          </w:tcPr>
          <w:p>
            <w:pPr>
              <w:rPr>
                <w:sz w:val="2"/>
                <w:szCs w:val="2"/>
              </w:rPr>
            </w:pPr>
          </w:p>
        </w:tc>
      </w:tr>
    </w:tbl>
    <w:p>
      <w:pPr>
        <w:pStyle w:val="BodyText"/>
        <w:spacing w:before="6"/>
        <w:rPr>
          <w:rFonts w:ascii="Arial"/>
          <w:sz w:val="19"/>
        </w:rPr>
      </w:pPr>
    </w:p>
    <w:p>
      <w:pPr>
        <w:spacing w:after="0"/>
        <w:rPr>
          <w:rFonts w:ascii="Arial"/>
          <w:sz w:val="19"/>
        </w:rPr>
        <w:sectPr>
          <w:pgSz w:w="11910" w:h="16840"/>
          <w:pgMar w:top="1580" w:bottom="280" w:left="0" w:right="0"/>
        </w:sectPr>
      </w:pPr>
    </w:p>
    <w:p>
      <w:pPr>
        <w:pStyle w:val="BodyText"/>
        <w:spacing w:line="283" w:lineRule="auto" w:before="97"/>
        <w:ind w:left="1984" w:right="136" w:hanging="284"/>
      </w:pPr>
      <w:r>
        <w:rPr>
          <w:position w:val="-3"/>
        </w:rPr>
        <w:drawing>
          <wp:inline distT="0" distB="0" distL="0" distR="0">
            <wp:extent cx="71843" cy="111455"/>
            <wp:effectExtent l="0" t="0" r="0" b="0"/>
            <wp:docPr id="13" name="image12.png" descr=""/>
            <wp:cNvGraphicFramePr>
              <a:graphicFrameLocks noChangeAspect="1"/>
            </wp:cNvGraphicFramePr>
            <a:graphic>
              <a:graphicData uri="http://schemas.openxmlformats.org/drawingml/2006/picture">
                <pic:pic>
                  <pic:nvPicPr>
                    <pic:cNvPr id="14" name="image12.png"/>
                    <pic:cNvPicPr/>
                  </pic:nvPicPr>
                  <pic:blipFill>
                    <a:blip r:embed="rId16" cstate="print"/>
                    <a:stretch>
                      <a:fillRect/>
                    </a:stretch>
                  </pic:blipFill>
                  <pic:spPr>
                    <a:xfrm>
                      <a:off x="0" y="0"/>
                      <a:ext cx="71843" cy="111455"/>
                    </a:xfrm>
                    <a:prstGeom prst="rect">
                      <a:avLst/>
                    </a:prstGeom>
                  </pic:spPr>
                </pic:pic>
              </a:graphicData>
            </a:graphic>
          </wp:inline>
        </w:drawing>
      </w:r>
      <w:r>
        <w:rPr>
          <w:position w:val="-3"/>
        </w:rPr>
      </w:r>
      <w:r>
        <w:rPr>
          <w:rFonts w:ascii="Times New Roman"/>
          <w:sz w:val="20"/>
        </w:rPr>
        <w:t>  </w:t>
      </w:r>
      <w:r>
        <w:rPr>
          <w:rFonts w:ascii="Times New Roman"/>
          <w:spacing w:val="20"/>
          <w:sz w:val="20"/>
        </w:rPr>
        <w:t> </w:t>
      </w:r>
      <w:r>
        <w:rPr/>
        <w:t>The most important factor (i.e. the one with the most influence over the likelihood to remove asbestos) is the size of the area of asbestos to be removed/price</w:t>
      </w:r>
      <w:r>
        <w:rPr>
          <w:spacing w:val="-19"/>
        </w:rPr>
        <w:t> </w:t>
      </w:r>
      <w:r>
        <w:rPr/>
        <w:t>of</w:t>
      </w:r>
      <w:r>
        <w:rPr>
          <w:spacing w:val="-19"/>
        </w:rPr>
        <w:t> </w:t>
      </w:r>
      <w:r>
        <w:rPr/>
        <w:t>removal,</w:t>
      </w:r>
      <w:r>
        <w:rPr>
          <w:spacing w:val="-19"/>
        </w:rPr>
        <w:t> </w:t>
      </w:r>
      <w:r>
        <w:rPr/>
        <w:t>at</w:t>
      </w:r>
      <w:r>
        <w:rPr>
          <w:spacing w:val="-19"/>
        </w:rPr>
        <w:t> </w:t>
      </w:r>
      <w:r>
        <w:rPr/>
        <w:t>54%.</w:t>
      </w:r>
      <w:r>
        <w:rPr>
          <w:spacing w:val="-19"/>
        </w:rPr>
        <w:t> </w:t>
      </w:r>
      <w:r>
        <w:rPr/>
        <w:t>This</w:t>
      </w:r>
      <w:r>
        <w:rPr>
          <w:spacing w:val="-19"/>
        </w:rPr>
        <w:t> </w:t>
      </w:r>
      <w:r>
        <w:rPr/>
        <w:t>is</w:t>
      </w:r>
      <w:r>
        <w:rPr>
          <w:spacing w:val="-19"/>
        </w:rPr>
        <w:t> </w:t>
      </w:r>
      <w:r>
        <w:rPr/>
        <w:t>followed by the government initiative at </w:t>
      </w:r>
      <w:r>
        <w:rPr>
          <w:spacing w:val="-3"/>
        </w:rPr>
        <w:t>33% </w:t>
      </w:r>
      <w:r>
        <w:rPr/>
        <w:t>and then the location of the asbestos at</w:t>
      </w:r>
      <w:r>
        <w:rPr>
          <w:spacing w:val="-18"/>
        </w:rPr>
        <w:t> </w:t>
      </w:r>
      <w:r>
        <w:rPr>
          <w:spacing w:val="-3"/>
        </w:rPr>
        <w:t>14%.</w:t>
      </w:r>
    </w:p>
    <w:p>
      <w:pPr>
        <w:pStyle w:val="BodyText"/>
        <w:spacing w:line="283" w:lineRule="auto" w:before="135"/>
        <w:ind w:left="1984" w:right="-12" w:hanging="284"/>
      </w:pPr>
      <w:r>
        <w:rPr>
          <w:position w:val="-3"/>
        </w:rPr>
        <w:drawing>
          <wp:inline distT="0" distB="0" distL="0" distR="0">
            <wp:extent cx="71843" cy="111455"/>
            <wp:effectExtent l="0" t="0" r="0" b="0"/>
            <wp:docPr id="15" name="image11.png" descr=""/>
            <wp:cNvGraphicFramePr>
              <a:graphicFrameLocks noChangeAspect="1"/>
            </wp:cNvGraphicFramePr>
            <a:graphic>
              <a:graphicData uri="http://schemas.openxmlformats.org/drawingml/2006/picture">
                <pic:pic>
                  <pic:nvPicPr>
                    <pic:cNvPr id="16" name="image11.png"/>
                    <pic:cNvPicPr/>
                  </pic:nvPicPr>
                  <pic:blipFill>
                    <a:blip r:embed="rId15" cstate="print"/>
                    <a:stretch>
                      <a:fillRect/>
                    </a:stretch>
                  </pic:blipFill>
                  <pic:spPr>
                    <a:xfrm>
                      <a:off x="0" y="0"/>
                      <a:ext cx="71843" cy="111455"/>
                    </a:xfrm>
                    <a:prstGeom prst="rect">
                      <a:avLst/>
                    </a:prstGeom>
                  </pic:spPr>
                </pic:pic>
              </a:graphicData>
            </a:graphic>
          </wp:inline>
        </w:drawing>
      </w:r>
      <w:r>
        <w:rPr>
          <w:position w:val="-3"/>
        </w:rPr>
      </w:r>
      <w:r>
        <w:rPr>
          <w:rFonts w:ascii="Times New Roman"/>
          <w:sz w:val="20"/>
        </w:rPr>
        <w:t>  </w:t>
      </w:r>
      <w:r>
        <w:rPr>
          <w:rFonts w:ascii="Times New Roman"/>
          <w:spacing w:val="20"/>
          <w:sz w:val="20"/>
        </w:rPr>
        <w:t> </w:t>
      </w:r>
      <w:r>
        <w:rPr/>
        <w:t>Homeowners are more likely to remove asbestos when</w:t>
      </w:r>
      <w:r>
        <w:rPr>
          <w:spacing w:val="-13"/>
        </w:rPr>
        <w:t> </w:t>
      </w:r>
      <w:r>
        <w:rPr/>
        <w:t>the</w:t>
      </w:r>
      <w:r>
        <w:rPr>
          <w:spacing w:val="-13"/>
        </w:rPr>
        <w:t> </w:t>
      </w:r>
      <w:r>
        <w:rPr/>
        <w:t>volume</w:t>
      </w:r>
      <w:r>
        <w:rPr>
          <w:spacing w:val="-13"/>
        </w:rPr>
        <w:t> </w:t>
      </w:r>
      <w:r>
        <w:rPr/>
        <w:t>is</w:t>
      </w:r>
      <w:r>
        <w:rPr>
          <w:spacing w:val="-13"/>
        </w:rPr>
        <w:t> </w:t>
      </w:r>
      <w:r>
        <w:rPr/>
        <w:t>smaller</w:t>
      </w:r>
      <w:r>
        <w:rPr>
          <w:spacing w:val="-13"/>
        </w:rPr>
        <w:t> </w:t>
      </w:r>
      <w:r>
        <w:rPr/>
        <w:t>and</w:t>
      </w:r>
      <w:r>
        <w:rPr>
          <w:spacing w:val="-13"/>
        </w:rPr>
        <w:t> </w:t>
      </w:r>
      <w:r>
        <w:rPr/>
        <w:t>the</w:t>
      </w:r>
      <w:r>
        <w:rPr>
          <w:spacing w:val="-13"/>
        </w:rPr>
        <w:t> </w:t>
      </w:r>
      <w:r>
        <w:rPr/>
        <w:t>price</w:t>
      </w:r>
      <w:r>
        <w:rPr>
          <w:spacing w:val="-13"/>
        </w:rPr>
        <w:t> </w:t>
      </w:r>
      <w:r>
        <w:rPr/>
        <w:t>of</w:t>
      </w:r>
      <w:r>
        <w:rPr>
          <w:spacing w:val="-13"/>
        </w:rPr>
        <w:t> </w:t>
      </w:r>
      <w:r>
        <w:rPr/>
        <w:t>removal is</w:t>
      </w:r>
      <w:r>
        <w:rPr>
          <w:spacing w:val="-15"/>
        </w:rPr>
        <w:t> </w:t>
      </w:r>
      <w:r>
        <w:rPr/>
        <w:t>lower.</w:t>
      </w:r>
      <w:r>
        <w:rPr>
          <w:spacing w:val="-15"/>
        </w:rPr>
        <w:t> </w:t>
      </w:r>
      <w:r>
        <w:rPr/>
        <w:t>Within</w:t>
      </w:r>
      <w:r>
        <w:rPr>
          <w:spacing w:val="-15"/>
        </w:rPr>
        <w:t> </w:t>
      </w:r>
      <w:r>
        <w:rPr/>
        <w:t>the</w:t>
      </w:r>
      <w:r>
        <w:rPr>
          <w:spacing w:val="-15"/>
        </w:rPr>
        <w:t> </w:t>
      </w:r>
      <w:r>
        <w:rPr/>
        <w:t>size</w:t>
      </w:r>
      <w:r>
        <w:rPr>
          <w:spacing w:val="-15"/>
        </w:rPr>
        <w:t> </w:t>
      </w:r>
      <w:r>
        <w:rPr/>
        <w:t>of</w:t>
      </w:r>
      <w:r>
        <w:rPr>
          <w:spacing w:val="-15"/>
        </w:rPr>
        <w:t> </w:t>
      </w:r>
      <w:r>
        <w:rPr/>
        <w:t>asbestos</w:t>
      </w:r>
      <w:r>
        <w:rPr>
          <w:spacing w:val="-15"/>
        </w:rPr>
        <w:t> </w:t>
      </w:r>
      <w:r>
        <w:rPr/>
        <w:t>to</w:t>
      </w:r>
      <w:r>
        <w:rPr>
          <w:spacing w:val="-15"/>
        </w:rPr>
        <w:t> </w:t>
      </w:r>
      <w:r>
        <w:rPr/>
        <w:t>be</w:t>
      </w:r>
      <w:r>
        <w:rPr>
          <w:spacing w:val="-15"/>
        </w:rPr>
        <w:t> </w:t>
      </w:r>
      <w:r>
        <w:rPr/>
        <w:t>removed/ price</w:t>
      </w:r>
      <w:r>
        <w:rPr>
          <w:spacing w:val="-16"/>
        </w:rPr>
        <w:t> </w:t>
      </w:r>
      <w:r>
        <w:rPr/>
        <w:t>factor,</w:t>
      </w:r>
      <w:r>
        <w:rPr>
          <w:spacing w:val="-16"/>
        </w:rPr>
        <w:t> </w:t>
      </w:r>
      <w:r>
        <w:rPr/>
        <w:t>we</w:t>
      </w:r>
      <w:r>
        <w:rPr>
          <w:spacing w:val="-16"/>
        </w:rPr>
        <w:t> </w:t>
      </w:r>
      <w:r>
        <w:rPr/>
        <w:t>see</w:t>
      </w:r>
      <w:r>
        <w:rPr>
          <w:spacing w:val="-16"/>
        </w:rPr>
        <w:t> </w:t>
      </w:r>
      <w:r>
        <w:rPr/>
        <w:t>that</w:t>
      </w:r>
      <w:r>
        <w:rPr>
          <w:spacing w:val="-16"/>
        </w:rPr>
        <w:t> </w:t>
      </w:r>
      <w:r>
        <w:rPr/>
        <w:t>average</w:t>
      </w:r>
      <w:r>
        <w:rPr>
          <w:spacing w:val="-16"/>
        </w:rPr>
        <w:t> </w:t>
      </w:r>
      <w:r>
        <w:rPr/>
        <w:t>model</w:t>
      </w:r>
      <w:r>
        <w:rPr>
          <w:spacing w:val="-16"/>
        </w:rPr>
        <w:t> </w:t>
      </w:r>
      <w:r>
        <w:rPr/>
        <w:t>coefficients (importance scores) for levels 2 and 3 (the medium sized/$2000 and the large sized/$5000 removal options)</w:t>
      </w:r>
      <w:r>
        <w:rPr>
          <w:spacing w:val="-15"/>
        </w:rPr>
        <w:t> </w:t>
      </w:r>
      <w:r>
        <w:rPr/>
        <w:t>are</w:t>
      </w:r>
      <w:r>
        <w:rPr>
          <w:spacing w:val="-15"/>
        </w:rPr>
        <w:t> </w:t>
      </w:r>
      <w:r>
        <w:rPr/>
        <w:t>increasing</w:t>
      </w:r>
      <w:r>
        <w:rPr>
          <w:spacing w:val="-15"/>
        </w:rPr>
        <w:t> </w:t>
      </w:r>
      <w:r>
        <w:rPr/>
        <w:t>in</w:t>
      </w:r>
      <w:r>
        <w:rPr>
          <w:spacing w:val="-15"/>
        </w:rPr>
        <w:t> </w:t>
      </w:r>
      <w:r>
        <w:rPr/>
        <w:t>size</w:t>
      </w:r>
      <w:r>
        <w:rPr>
          <w:spacing w:val="-15"/>
        </w:rPr>
        <w:t> </w:t>
      </w:r>
      <w:r>
        <w:rPr/>
        <w:t>in</w:t>
      </w:r>
      <w:r>
        <w:rPr>
          <w:spacing w:val="-15"/>
        </w:rPr>
        <w:t> </w:t>
      </w:r>
      <w:r>
        <w:rPr/>
        <w:t>a</w:t>
      </w:r>
      <w:r>
        <w:rPr>
          <w:spacing w:val="-15"/>
        </w:rPr>
        <w:t> </w:t>
      </w:r>
      <w:r>
        <w:rPr/>
        <w:t>negative</w:t>
      </w:r>
      <w:r>
        <w:rPr>
          <w:spacing w:val="-15"/>
        </w:rPr>
        <w:t> </w:t>
      </w:r>
      <w:r>
        <w:rPr/>
        <w:t>direction from</w:t>
      </w:r>
      <w:r>
        <w:rPr>
          <w:spacing w:val="-11"/>
        </w:rPr>
        <w:t> </w:t>
      </w:r>
      <w:r>
        <w:rPr/>
        <w:t>level</w:t>
      </w:r>
      <w:r>
        <w:rPr>
          <w:spacing w:val="-11"/>
        </w:rPr>
        <w:t> </w:t>
      </w:r>
      <w:r>
        <w:rPr/>
        <w:t>1</w:t>
      </w:r>
      <w:r>
        <w:rPr>
          <w:spacing w:val="-11"/>
        </w:rPr>
        <w:t> </w:t>
      </w:r>
      <w:r>
        <w:rPr/>
        <w:t>(the</w:t>
      </w:r>
      <w:r>
        <w:rPr>
          <w:spacing w:val="-11"/>
        </w:rPr>
        <w:t> </w:t>
      </w:r>
      <w:r>
        <w:rPr/>
        <w:t>small/$500</w:t>
      </w:r>
      <w:r>
        <w:rPr>
          <w:spacing w:val="-11"/>
        </w:rPr>
        <w:t> </w:t>
      </w:r>
      <w:r>
        <w:rPr/>
        <w:t>removal</w:t>
      </w:r>
      <w:r>
        <w:rPr>
          <w:spacing w:val="-11"/>
        </w:rPr>
        <w:t> </w:t>
      </w:r>
      <w:r>
        <w:rPr/>
        <w:t>option).</w:t>
      </w:r>
    </w:p>
    <w:p>
      <w:pPr>
        <w:pStyle w:val="BodyText"/>
        <w:spacing w:line="283" w:lineRule="auto" w:before="135"/>
        <w:ind w:left="1984" w:right="41" w:hanging="284"/>
      </w:pPr>
      <w:r>
        <w:rPr>
          <w:position w:val="-3"/>
        </w:rPr>
        <w:drawing>
          <wp:inline distT="0" distB="0" distL="0" distR="0">
            <wp:extent cx="71843" cy="111455"/>
            <wp:effectExtent l="0" t="0" r="0" b="0"/>
            <wp:docPr id="17" name="image12.png" descr=""/>
            <wp:cNvGraphicFramePr>
              <a:graphicFrameLocks noChangeAspect="1"/>
            </wp:cNvGraphicFramePr>
            <a:graphic>
              <a:graphicData uri="http://schemas.openxmlformats.org/drawingml/2006/picture">
                <pic:pic>
                  <pic:nvPicPr>
                    <pic:cNvPr id="18" name="image12.png"/>
                    <pic:cNvPicPr/>
                  </pic:nvPicPr>
                  <pic:blipFill>
                    <a:blip r:embed="rId16" cstate="print"/>
                    <a:stretch>
                      <a:fillRect/>
                    </a:stretch>
                  </pic:blipFill>
                  <pic:spPr>
                    <a:xfrm>
                      <a:off x="0" y="0"/>
                      <a:ext cx="71843" cy="111455"/>
                    </a:xfrm>
                    <a:prstGeom prst="rect">
                      <a:avLst/>
                    </a:prstGeom>
                  </pic:spPr>
                </pic:pic>
              </a:graphicData>
            </a:graphic>
          </wp:inline>
        </w:drawing>
      </w:r>
      <w:r>
        <w:rPr>
          <w:position w:val="-3"/>
        </w:rPr>
      </w:r>
      <w:r>
        <w:rPr>
          <w:rFonts w:ascii="Times New Roman"/>
          <w:sz w:val="20"/>
        </w:rPr>
        <w:t>  </w:t>
      </w:r>
      <w:r>
        <w:rPr>
          <w:rFonts w:ascii="Times New Roman"/>
          <w:spacing w:val="20"/>
          <w:sz w:val="20"/>
        </w:rPr>
        <w:t> </w:t>
      </w:r>
      <w:r>
        <w:rPr/>
        <w:t>The initiative under which immediate removal of asbestos is most likely is free disposal, which has a higher importance score (0.46) than all others. All the hypothetical government initiatives presented to</w:t>
      </w:r>
      <w:r>
        <w:rPr>
          <w:spacing w:val="-12"/>
        </w:rPr>
        <w:t> </w:t>
      </w:r>
      <w:r>
        <w:rPr/>
        <w:t>participants</w:t>
      </w:r>
      <w:r>
        <w:rPr>
          <w:spacing w:val="-12"/>
        </w:rPr>
        <w:t> </w:t>
      </w:r>
      <w:r>
        <w:rPr/>
        <w:t>have</w:t>
      </w:r>
      <w:r>
        <w:rPr>
          <w:spacing w:val="-12"/>
        </w:rPr>
        <w:t> </w:t>
      </w:r>
      <w:r>
        <w:rPr/>
        <w:t>importance</w:t>
      </w:r>
      <w:r>
        <w:rPr>
          <w:spacing w:val="-12"/>
        </w:rPr>
        <w:t> </w:t>
      </w:r>
      <w:r>
        <w:rPr/>
        <w:t>scores</w:t>
      </w:r>
      <w:r>
        <w:rPr>
          <w:spacing w:val="-12"/>
        </w:rPr>
        <w:t> </w:t>
      </w:r>
      <w:r>
        <w:rPr/>
        <w:t>higher</w:t>
      </w:r>
      <w:r>
        <w:rPr>
          <w:spacing w:val="-12"/>
        </w:rPr>
        <w:t> </w:t>
      </w:r>
      <w:r>
        <w:rPr/>
        <w:t>than the</w:t>
      </w:r>
      <w:r>
        <w:rPr>
          <w:spacing w:val="-12"/>
        </w:rPr>
        <w:t> </w:t>
      </w:r>
      <w:r>
        <w:rPr/>
        <w:t>no</w:t>
      </w:r>
      <w:r>
        <w:rPr>
          <w:spacing w:val="-12"/>
        </w:rPr>
        <w:t> </w:t>
      </w:r>
      <w:r>
        <w:rPr/>
        <w:t>initiative</w:t>
      </w:r>
      <w:r>
        <w:rPr>
          <w:spacing w:val="-12"/>
        </w:rPr>
        <w:t> </w:t>
      </w:r>
      <w:r>
        <w:rPr/>
        <w:t>option.</w:t>
      </w:r>
      <w:r>
        <w:rPr>
          <w:spacing w:val="-12"/>
        </w:rPr>
        <w:t> </w:t>
      </w:r>
      <w:r>
        <w:rPr/>
        <w:t>This</w:t>
      </w:r>
      <w:r>
        <w:rPr>
          <w:spacing w:val="-12"/>
        </w:rPr>
        <w:t> </w:t>
      </w:r>
      <w:r>
        <w:rPr/>
        <w:t>suggests</w:t>
      </w:r>
      <w:r>
        <w:rPr>
          <w:spacing w:val="-12"/>
        </w:rPr>
        <w:t> </w:t>
      </w:r>
      <w:r>
        <w:rPr/>
        <w:t>that</w:t>
      </w:r>
      <w:r>
        <w:rPr>
          <w:spacing w:val="-12"/>
        </w:rPr>
        <w:t> </w:t>
      </w:r>
      <w:r>
        <w:rPr/>
        <w:t>any</w:t>
      </w:r>
      <w:r>
        <w:rPr>
          <w:spacing w:val="-12"/>
        </w:rPr>
        <w:t> </w:t>
      </w:r>
      <w:r>
        <w:rPr/>
        <w:t>form of government initiative has a positive effect on likelihood to remove and hence they all increase the</w:t>
      </w:r>
      <w:r>
        <w:rPr>
          <w:spacing w:val="-13"/>
        </w:rPr>
        <w:t> </w:t>
      </w:r>
      <w:r>
        <w:rPr/>
        <w:t>likelihood</w:t>
      </w:r>
      <w:r>
        <w:rPr>
          <w:spacing w:val="-13"/>
        </w:rPr>
        <w:t> </w:t>
      </w:r>
      <w:r>
        <w:rPr/>
        <w:t>of</w:t>
      </w:r>
      <w:r>
        <w:rPr>
          <w:spacing w:val="-13"/>
        </w:rPr>
        <w:t> </w:t>
      </w:r>
      <w:r>
        <w:rPr/>
        <w:t>home</w:t>
      </w:r>
      <w:r>
        <w:rPr>
          <w:spacing w:val="-13"/>
        </w:rPr>
        <w:t> </w:t>
      </w:r>
      <w:r>
        <w:rPr/>
        <w:t>owners</w:t>
      </w:r>
      <w:r>
        <w:rPr>
          <w:spacing w:val="-13"/>
        </w:rPr>
        <w:t> </w:t>
      </w:r>
      <w:r>
        <w:rPr/>
        <w:t>to</w:t>
      </w:r>
      <w:r>
        <w:rPr>
          <w:spacing w:val="-13"/>
        </w:rPr>
        <w:t> </w:t>
      </w:r>
      <w:r>
        <w:rPr/>
        <w:t>remove</w:t>
      </w:r>
      <w:r>
        <w:rPr>
          <w:spacing w:val="-13"/>
        </w:rPr>
        <w:t> </w:t>
      </w:r>
      <w:r>
        <w:rPr/>
        <w:t>asbestos.</w:t>
      </w:r>
    </w:p>
    <w:p>
      <w:pPr>
        <w:pStyle w:val="BodyText"/>
        <w:spacing w:line="283" w:lineRule="auto" w:before="97"/>
        <w:ind w:left="697" w:right="1539" w:hanging="284"/>
      </w:pPr>
      <w:r>
        <w:rPr/>
        <w:br w:type="column"/>
      </w:r>
      <w:r>
        <w:rPr>
          <w:position w:val="-3"/>
        </w:rPr>
        <w:drawing>
          <wp:inline distT="0" distB="0" distL="0" distR="0">
            <wp:extent cx="71843" cy="111455"/>
            <wp:effectExtent l="0" t="0" r="0" b="0"/>
            <wp:docPr id="19" name="image12.png" descr=""/>
            <wp:cNvGraphicFramePr>
              <a:graphicFrameLocks noChangeAspect="1"/>
            </wp:cNvGraphicFramePr>
            <a:graphic>
              <a:graphicData uri="http://schemas.openxmlformats.org/drawingml/2006/picture">
                <pic:pic>
                  <pic:nvPicPr>
                    <pic:cNvPr id="20" name="image12.png"/>
                    <pic:cNvPicPr/>
                  </pic:nvPicPr>
                  <pic:blipFill>
                    <a:blip r:embed="rId16" cstate="print"/>
                    <a:stretch>
                      <a:fillRect/>
                    </a:stretch>
                  </pic:blipFill>
                  <pic:spPr>
                    <a:xfrm>
                      <a:off x="0" y="0"/>
                      <a:ext cx="71843" cy="111455"/>
                    </a:xfrm>
                    <a:prstGeom prst="rect">
                      <a:avLst/>
                    </a:prstGeom>
                  </pic:spPr>
                </pic:pic>
              </a:graphicData>
            </a:graphic>
          </wp:inline>
        </w:drawing>
      </w:r>
      <w:r>
        <w:rPr>
          <w:position w:val="-3"/>
        </w:rPr>
      </w:r>
      <w:r>
        <w:rPr>
          <w:rFonts w:ascii="Times New Roman"/>
          <w:sz w:val="20"/>
        </w:rPr>
        <w:t>  </w:t>
      </w:r>
      <w:r>
        <w:rPr>
          <w:rFonts w:ascii="Times New Roman"/>
          <w:spacing w:val="20"/>
          <w:sz w:val="20"/>
        </w:rPr>
        <w:t> </w:t>
      </w:r>
      <w:r>
        <w:rPr/>
        <w:t>Relative to the other factors, the location of the asbestos has a low impact on likelihood to remove it </w:t>
      </w:r>
      <w:r>
        <w:rPr>
          <w:spacing w:val="-6"/>
        </w:rPr>
        <w:t>(14%</w:t>
      </w:r>
      <w:r>
        <w:rPr>
          <w:spacing w:val="-21"/>
        </w:rPr>
        <w:t> </w:t>
      </w:r>
      <w:r>
        <w:rPr/>
        <w:t>overall</w:t>
      </w:r>
      <w:r>
        <w:rPr>
          <w:spacing w:val="-21"/>
        </w:rPr>
        <w:t> </w:t>
      </w:r>
      <w:r>
        <w:rPr/>
        <w:t>importance).</w:t>
      </w:r>
      <w:r>
        <w:rPr>
          <w:spacing w:val="-21"/>
        </w:rPr>
        <w:t> </w:t>
      </w:r>
      <w:r>
        <w:rPr/>
        <w:t>The</w:t>
      </w:r>
      <w:r>
        <w:rPr>
          <w:spacing w:val="-21"/>
        </w:rPr>
        <w:t> </w:t>
      </w:r>
      <w:r>
        <w:rPr/>
        <w:t>locations</w:t>
      </w:r>
      <w:r>
        <w:rPr>
          <w:spacing w:val="-21"/>
        </w:rPr>
        <w:t> </w:t>
      </w:r>
      <w:r>
        <w:rPr/>
        <w:t>have</w:t>
      </w:r>
      <w:r>
        <w:rPr>
          <w:spacing w:val="-21"/>
        </w:rPr>
        <w:t> </w:t>
      </w:r>
      <w:r>
        <w:rPr/>
        <w:t>relatively similar importance scores, indicating lower levels of differentiation</w:t>
      </w:r>
      <w:r>
        <w:rPr>
          <w:spacing w:val="-16"/>
        </w:rPr>
        <w:t> </w:t>
      </w:r>
      <w:r>
        <w:rPr/>
        <w:t>between</w:t>
      </w:r>
      <w:r>
        <w:rPr>
          <w:spacing w:val="-16"/>
        </w:rPr>
        <w:t> </w:t>
      </w:r>
      <w:r>
        <w:rPr/>
        <w:t>the</w:t>
      </w:r>
      <w:r>
        <w:rPr>
          <w:spacing w:val="-16"/>
        </w:rPr>
        <w:t> </w:t>
      </w:r>
      <w:r>
        <w:rPr/>
        <w:t>options</w:t>
      </w:r>
      <w:r>
        <w:rPr>
          <w:spacing w:val="-16"/>
        </w:rPr>
        <w:t> </w:t>
      </w:r>
      <w:r>
        <w:rPr/>
        <w:t>than</w:t>
      </w:r>
      <w:r>
        <w:rPr>
          <w:spacing w:val="-16"/>
        </w:rPr>
        <w:t> </w:t>
      </w:r>
      <w:r>
        <w:rPr/>
        <w:t>for</w:t>
      </w:r>
      <w:r>
        <w:rPr>
          <w:spacing w:val="-16"/>
        </w:rPr>
        <w:t> </w:t>
      </w:r>
      <w:r>
        <w:rPr/>
        <w:t>the</w:t>
      </w:r>
      <w:r>
        <w:rPr>
          <w:spacing w:val="-16"/>
        </w:rPr>
        <w:t> </w:t>
      </w:r>
      <w:r>
        <w:rPr/>
        <w:t>other two factors. This is out of step with research showing that asbestos in roofs and fences poses a threat to public</w:t>
      </w:r>
      <w:r>
        <w:rPr>
          <w:spacing w:val="-12"/>
        </w:rPr>
        <w:t> </w:t>
      </w:r>
      <w:r>
        <w:rPr>
          <w:spacing w:val="-3"/>
        </w:rPr>
        <w:t>health</w:t>
      </w:r>
      <w:r>
        <w:rPr>
          <w:spacing w:val="-3"/>
          <w:position w:val="6"/>
          <w:sz w:val="10"/>
        </w:rPr>
        <w:t>1</w:t>
      </w:r>
      <w:r>
        <w:rPr>
          <w:spacing w:val="-3"/>
        </w:rPr>
        <w:t>,</w:t>
      </w:r>
      <w:r>
        <w:rPr>
          <w:spacing w:val="-12"/>
        </w:rPr>
        <w:t> </w:t>
      </w:r>
      <w:r>
        <w:rPr/>
        <w:t>and</w:t>
      </w:r>
      <w:r>
        <w:rPr>
          <w:spacing w:val="-12"/>
        </w:rPr>
        <w:t> </w:t>
      </w:r>
      <w:r>
        <w:rPr/>
        <w:t>indicates</w:t>
      </w:r>
      <w:r>
        <w:rPr>
          <w:spacing w:val="-12"/>
        </w:rPr>
        <w:t> </w:t>
      </w:r>
      <w:r>
        <w:rPr/>
        <w:t>a</w:t>
      </w:r>
      <w:r>
        <w:rPr>
          <w:spacing w:val="-12"/>
        </w:rPr>
        <w:t> </w:t>
      </w:r>
      <w:r>
        <w:rPr/>
        <w:t>lack</w:t>
      </w:r>
      <w:r>
        <w:rPr>
          <w:spacing w:val="-12"/>
        </w:rPr>
        <w:t> </w:t>
      </w:r>
      <w:r>
        <w:rPr/>
        <w:t>of</w:t>
      </w:r>
      <w:r>
        <w:rPr>
          <w:spacing w:val="-12"/>
        </w:rPr>
        <w:t> </w:t>
      </w:r>
      <w:r>
        <w:rPr/>
        <w:t>asbestos</w:t>
      </w:r>
      <w:r>
        <w:rPr>
          <w:spacing w:val="-12"/>
        </w:rPr>
        <w:t> </w:t>
      </w:r>
      <w:r>
        <w:rPr/>
        <w:t>literacy among</w:t>
      </w:r>
      <w:r>
        <w:rPr>
          <w:spacing w:val="-2"/>
        </w:rPr>
        <w:t> </w:t>
      </w:r>
      <w:r>
        <w:rPr/>
        <w:t>homeowners.</w:t>
      </w:r>
    </w:p>
    <w:p>
      <w:pPr>
        <w:spacing w:after="0" w:line="283" w:lineRule="auto"/>
        <w:sectPr>
          <w:type w:val="continuous"/>
          <w:pgSz w:w="11910" w:h="16840"/>
          <w:pgMar w:top="1580" w:bottom="280" w:left="0" w:right="0"/>
          <w:cols w:num="2" w:equalWidth="0">
            <w:col w:w="5726" w:space="40"/>
            <w:col w:w="6144"/>
          </w:cols>
        </w:sectPr>
      </w:pPr>
    </w:p>
    <w:p>
      <w:pPr>
        <w:pStyle w:val="BodyText"/>
        <w:spacing w:before="4"/>
        <w:rPr>
          <w:sz w:val="9"/>
        </w:rPr>
      </w:pPr>
    </w:p>
    <w:p>
      <w:pPr>
        <w:spacing w:line="252" w:lineRule="auto" w:before="98"/>
        <w:ind w:left="1984" w:right="5915" w:hanging="1"/>
        <w:jc w:val="left"/>
        <w:rPr>
          <w:sz w:val="14"/>
        </w:rPr>
      </w:pPr>
      <w:r>
        <w:rPr/>
        <w:pict>
          <v:group style="position:absolute;margin-left:308.976013pt;margin-top:-187.006165pt;width:286.3pt;height:218.3pt;mso-position-horizontal-relative:page;mso-position-vertical-relative:paragraph;z-index:1216" coordorigin="6180,-3740" coordsize="5726,4366">
            <v:rect style="position:absolute;left:6179;top:-3741;width:5726;height:4366" filled="true" fillcolor="#1c75bc" stroked="false">
              <v:fill opacity="9830f" type="solid"/>
            </v:rect>
            <v:shape style="position:absolute;left:6462;top:-2489;width:114;height:176" type="#_x0000_t75" stroked="false">
              <v:imagedata r:id="rId13" o:title=""/>
            </v:shape>
            <v:shape style="position:absolute;left:6462;top:-1839;width:114;height:176" type="#_x0000_t75" stroked="false">
              <v:imagedata r:id="rId14" o:title=""/>
            </v:shape>
            <v:shape style="position:absolute;left:6462;top:-1189;width:114;height:176" type="#_x0000_t75" stroked="false">
              <v:imagedata r:id="rId14" o:title=""/>
            </v:shape>
            <v:shape style="position:absolute;left:6462;top:-279;width:114;height:176" type="#_x0000_t75" stroked="false">
              <v:imagedata r:id="rId14" o:title=""/>
            </v:shape>
            <v:shape style="position:absolute;left:6179;top:-3741;width:5726;height:4366" type="#_x0000_t202" filled="false" stroked="false">
              <v:textbox inset="0,0,0,0">
                <w:txbxContent>
                  <w:p>
                    <w:pPr>
                      <w:spacing w:line="240" w:lineRule="auto" w:before="1"/>
                      <w:rPr>
                        <w:sz w:val="28"/>
                      </w:rPr>
                    </w:pPr>
                  </w:p>
                  <w:p>
                    <w:pPr>
                      <w:spacing w:before="0"/>
                      <w:ind w:left="283" w:right="0" w:firstLine="0"/>
                      <w:jc w:val="left"/>
                      <w:rPr>
                        <w:rFonts w:ascii="Arial"/>
                        <w:sz w:val="28"/>
                      </w:rPr>
                    </w:pPr>
                    <w:r>
                      <w:rPr>
                        <w:rFonts w:ascii="Arial"/>
                        <w:w w:val="90"/>
                        <w:sz w:val="28"/>
                      </w:rPr>
                      <w:t>Conclusions</w:t>
                    </w:r>
                  </w:p>
                  <w:p>
                    <w:pPr>
                      <w:spacing w:before="159"/>
                      <w:ind w:left="566" w:right="0" w:hanging="284"/>
                      <w:jc w:val="left"/>
                      <w:rPr>
                        <w:sz w:val="18"/>
                      </w:rPr>
                    </w:pPr>
                    <w:r>
                      <w:rPr>
                        <w:sz w:val="18"/>
                      </w:rPr>
                      <w:t>The findings above support the conclusions that:</w:t>
                    </w:r>
                  </w:p>
                  <w:p>
                    <w:pPr>
                      <w:spacing w:line="283" w:lineRule="auto" w:before="170"/>
                      <w:ind w:left="566" w:right="1810" w:firstLine="0"/>
                      <w:jc w:val="left"/>
                      <w:rPr>
                        <w:sz w:val="18"/>
                      </w:rPr>
                    </w:pPr>
                    <w:r>
                      <w:rPr>
                        <w:sz w:val="18"/>
                      </w:rPr>
                      <w:t>Cost is the main factor in decisions relating to asbestos removal</w:t>
                    </w:r>
                  </w:p>
                  <w:p>
                    <w:pPr>
                      <w:spacing w:line="283" w:lineRule="auto" w:before="132"/>
                      <w:ind w:left="566" w:right="1329" w:firstLine="0"/>
                      <w:jc w:val="left"/>
                      <w:rPr>
                        <w:sz w:val="18"/>
                      </w:rPr>
                    </w:pPr>
                    <w:r>
                      <w:rPr>
                        <w:sz w:val="18"/>
                      </w:rPr>
                      <w:t>Forms of Government initiative which reduce the combined cost of removal and disposal are effective</w:t>
                    </w:r>
                  </w:p>
                  <w:p>
                    <w:pPr>
                      <w:spacing w:line="283" w:lineRule="auto" w:before="131"/>
                      <w:ind w:left="566" w:right="1276" w:firstLine="0"/>
                      <w:jc w:val="left"/>
                      <w:rPr>
                        <w:sz w:val="18"/>
                      </w:rPr>
                    </w:pPr>
                    <w:r>
                      <w:rPr>
                        <w:sz w:val="18"/>
                      </w:rPr>
                      <w:t>Interest-free loans are an effective means of </w:t>
                    </w:r>
                    <w:r>
                      <w:rPr>
                        <w:spacing w:val="-4"/>
                        <w:sz w:val="18"/>
                      </w:rPr>
                      <w:t>increasing </w:t>
                    </w:r>
                    <w:r>
                      <w:rPr>
                        <w:spacing w:val="-3"/>
                        <w:sz w:val="18"/>
                      </w:rPr>
                      <w:t>removal, although less </w:t>
                    </w:r>
                    <w:r>
                      <w:rPr>
                        <w:sz w:val="18"/>
                      </w:rPr>
                      <w:t>so </w:t>
                    </w:r>
                    <w:r>
                      <w:rPr>
                        <w:spacing w:val="-3"/>
                        <w:sz w:val="18"/>
                      </w:rPr>
                      <w:t>than interventions </w:t>
                    </w:r>
                    <w:r>
                      <w:rPr>
                        <w:sz w:val="18"/>
                      </w:rPr>
                      <w:t>that reduce costs</w:t>
                    </w:r>
                  </w:p>
                  <w:p>
                    <w:pPr>
                      <w:spacing w:line="283" w:lineRule="auto" w:before="132"/>
                      <w:ind w:left="566" w:right="1183" w:firstLine="0"/>
                      <w:jc w:val="left"/>
                      <w:rPr>
                        <w:sz w:val="18"/>
                      </w:rPr>
                    </w:pPr>
                    <w:r>
                      <w:rPr>
                        <w:spacing w:val="-3"/>
                        <w:sz w:val="18"/>
                      </w:rPr>
                      <w:t>Low levels </w:t>
                    </w:r>
                    <w:r>
                      <w:rPr>
                        <w:sz w:val="18"/>
                      </w:rPr>
                      <w:t>of </w:t>
                    </w:r>
                    <w:r>
                      <w:rPr>
                        <w:spacing w:val="-3"/>
                        <w:sz w:val="18"/>
                      </w:rPr>
                      <w:t>risk literacy </w:t>
                    </w:r>
                    <w:r>
                      <w:rPr>
                        <w:spacing w:val="-4"/>
                        <w:sz w:val="18"/>
                      </w:rPr>
                      <w:t>relating </w:t>
                    </w:r>
                    <w:r>
                      <w:rPr>
                        <w:spacing w:val="-3"/>
                        <w:sz w:val="18"/>
                      </w:rPr>
                      <w:t>to </w:t>
                    </w:r>
                    <w:r>
                      <w:rPr>
                        <w:sz w:val="18"/>
                      </w:rPr>
                      <w:t>products </w:t>
                    </w:r>
                    <w:r>
                      <w:rPr>
                        <w:spacing w:val="-4"/>
                        <w:sz w:val="18"/>
                      </w:rPr>
                      <w:t>containing </w:t>
                    </w:r>
                    <w:r>
                      <w:rPr>
                        <w:sz w:val="18"/>
                      </w:rPr>
                      <w:t>asbestos is a barrier to informed decision-making</w:t>
                    </w:r>
                  </w:p>
                </w:txbxContent>
              </v:textbox>
              <w10:wrap type="none"/>
            </v:shape>
            <w10:wrap type="none"/>
          </v:group>
        </w:pict>
      </w:r>
      <w:r>
        <w:rPr>
          <w:position w:val="5"/>
          <w:sz w:val="8"/>
        </w:rPr>
        <w:t>1</w:t>
      </w:r>
      <w:r>
        <w:rPr>
          <w:spacing w:val="-8"/>
          <w:position w:val="5"/>
          <w:sz w:val="8"/>
        </w:rPr>
        <w:t> </w:t>
      </w:r>
      <w:r>
        <w:rPr>
          <w:sz w:val="14"/>
        </w:rPr>
        <w:t>Gray,</w:t>
      </w:r>
      <w:r>
        <w:rPr>
          <w:spacing w:val="-13"/>
          <w:sz w:val="14"/>
        </w:rPr>
        <w:t> </w:t>
      </w:r>
      <w:r>
        <w:rPr>
          <w:sz w:val="14"/>
        </w:rPr>
        <w:t>C.,</w:t>
      </w:r>
      <w:r>
        <w:rPr>
          <w:spacing w:val="-13"/>
          <w:sz w:val="14"/>
        </w:rPr>
        <w:t> </w:t>
      </w:r>
      <w:r>
        <w:rPr>
          <w:sz w:val="14"/>
        </w:rPr>
        <w:t>Carey,</w:t>
      </w:r>
      <w:r>
        <w:rPr>
          <w:spacing w:val="-13"/>
          <w:sz w:val="14"/>
        </w:rPr>
        <w:t> </w:t>
      </w:r>
      <w:r>
        <w:rPr>
          <w:sz w:val="14"/>
        </w:rPr>
        <w:t>R.</w:t>
      </w:r>
      <w:r>
        <w:rPr>
          <w:spacing w:val="-13"/>
          <w:sz w:val="14"/>
        </w:rPr>
        <w:t> </w:t>
      </w:r>
      <w:r>
        <w:rPr>
          <w:sz w:val="14"/>
        </w:rPr>
        <w:t>&amp;</w:t>
      </w:r>
      <w:r>
        <w:rPr>
          <w:spacing w:val="-13"/>
          <w:sz w:val="14"/>
        </w:rPr>
        <w:t> </w:t>
      </w:r>
      <w:r>
        <w:rPr>
          <w:sz w:val="14"/>
        </w:rPr>
        <w:t>Reid,</w:t>
      </w:r>
      <w:r>
        <w:rPr>
          <w:spacing w:val="-13"/>
          <w:sz w:val="14"/>
        </w:rPr>
        <w:t> </w:t>
      </w:r>
      <w:r>
        <w:rPr>
          <w:spacing w:val="1"/>
          <w:sz w:val="14"/>
        </w:rPr>
        <w:t>A.</w:t>
      </w:r>
      <w:r>
        <w:rPr>
          <w:spacing w:val="-13"/>
          <w:sz w:val="14"/>
        </w:rPr>
        <w:t> </w:t>
      </w:r>
      <w:r>
        <w:rPr>
          <w:sz w:val="14"/>
        </w:rPr>
        <w:t>Current</w:t>
      </w:r>
      <w:r>
        <w:rPr>
          <w:spacing w:val="-13"/>
          <w:sz w:val="14"/>
        </w:rPr>
        <w:t> </w:t>
      </w:r>
      <w:r>
        <w:rPr>
          <w:sz w:val="14"/>
        </w:rPr>
        <w:t>and</w:t>
      </w:r>
      <w:r>
        <w:rPr>
          <w:spacing w:val="-13"/>
          <w:sz w:val="14"/>
        </w:rPr>
        <w:t> </w:t>
      </w:r>
      <w:r>
        <w:rPr>
          <w:sz w:val="14"/>
        </w:rPr>
        <w:t>future</w:t>
      </w:r>
      <w:r>
        <w:rPr>
          <w:spacing w:val="-13"/>
          <w:sz w:val="14"/>
        </w:rPr>
        <w:t> </w:t>
      </w:r>
      <w:r>
        <w:rPr>
          <w:sz w:val="14"/>
        </w:rPr>
        <w:t>risks</w:t>
      </w:r>
      <w:r>
        <w:rPr>
          <w:spacing w:val="-13"/>
          <w:sz w:val="14"/>
        </w:rPr>
        <w:t> </w:t>
      </w:r>
      <w:r>
        <w:rPr>
          <w:sz w:val="14"/>
        </w:rPr>
        <w:t>of</w:t>
      </w:r>
      <w:r>
        <w:rPr>
          <w:spacing w:val="-13"/>
          <w:sz w:val="14"/>
        </w:rPr>
        <w:t> </w:t>
      </w:r>
      <w:r>
        <w:rPr>
          <w:sz w:val="14"/>
        </w:rPr>
        <w:t>asbestos exposure in the Australian community, International Journal of Occupational</w:t>
      </w:r>
      <w:r>
        <w:rPr>
          <w:spacing w:val="-7"/>
          <w:sz w:val="14"/>
        </w:rPr>
        <w:t> </w:t>
      </w:r>
      <w:r>
        <w:rPr>
          <w:sz w:val="14"/>
        </w:rPr>
        <w:t>and</w:t>
      </w:r>
      <w:r>
        <w:rPr>
          <w:spacing w:val="-7"/>
          <w:sz w:val="14"/>
        </w:rPr>
        <w:t> </w:t>
      </w:r>
      <w:r>
        <w:rPr>
          <w:sz w:val="14"/>
        </w:rPr>
        <w:t>Environmental</w:t>
      </w:r>
      <w:r>
        <w:rPr>
          <w:spacing w:val="-7"/>
          <w:sz w:val="14"/>
        </w:rPr>
        <w:t> </w:t>
      </w:r>
      <w:r>
        <w:rPr>
          <w:sz w:val="14"/>
        </w:rPr>
        <w:t>Health</w:t>
      </w:r>
      <w:r>
        <w:rPr>
          <w:spacing w:val="-7"/>
          <w:sz w:val="14"/>
        </w:rPr>
        <w:t> </w:t>
      </w:r>
      <w:r>
        <w:rPr>
          <w:sz w:val="14"/>
        </w:rPr>
        <w:t>Vol.</w:t>
      </w:r>
      <w:r>
        <w:rPr>
          <w:spacing w:val="-7"/>
          <w:sz w:val="14"/>
        </w:rPr>
        <w:t> </w:t>
      </w:r>
      <w:r>
        <w:rPr>
          <w:sz w:val="14"/>
        </w:rPr>
        <w:t>22,</w:t>
      </w:r>
      <w:r>
        <w:rPr>
          <w:spacing w:val="-7"/>
          <w:sz w:val="14"/>
        </w:rPr>
        <w:t> </w:t>
      </w:r>
      <w:r>
        <w:rPr>
          <w:sz w:val="14"/>
        </w:rPr>
        <w:t>Iss.4,</w:t>
      </w:r>
      <w:r>
        <w:rPr>
          <w:spacing w:val="-7"/>
          <w:sz w:val="14"/>
        </w:rPr>
        <w:t> </w:t>
      </w:r>
      <w:r>
        <w:rPr>
          <w:spacing w:val="-3"/>
          <w:sz w:val="14"/>
        </w:rPr>
        <w:t>2016.</w:t>
      </w:r>
    </w:p>
    <w:p>
      <w:pPr>
        <w:spacing w:after="0" w:line="252" w:lineRule="auto"/>
        <w:jc w:val="left"/>
        <w:rPr>
          <w:sz w:val="14"/>
        </w:rPr>
        <w:sectPr>
          <w:type w:val="continuous"/>
          <w:pgSz w:w="11910" w:h="16840"/>
          <w:pgMar w:top="1580" w:bottom="280" w:left="0" w:right="0"/>
        </w:sectPr>
      </w:pPr>
    </w:p>
    <w:p>
      <w:pPr>
        <w:pStyle w:val="Heading1"/>
        <w:spacing w:before="91"/>
      </w:pPr>
      <w:r>
        <w:rPr/>
        <w:pict>
          <v:shape style="position:absolute;margin-left:56.693401pt;margin-top:-.22816pt;width:21.95pt;height:38.35pt;mso-position-horizontal-relative:page;mso-position-vertical-relative:paragraph;z-index:1264" coordorigin="1134,-5" coordsize="439,767" path="m1189,-5l1135,50,1463,378,1134,707,1189,762,1572,378,1189,-5xe" filled="true" fillcolor="#d71920" stroked="false">
            <v:path arrowok="t"/>
            <v:fill type="solid"/>
            <w10:wrap type="none"/>
          </v:shape>
        </w:pict>
      </w:r>
      <w:r>
        <w:rPr>
          <w:color w:val="1C75BC"/>
          <w:w w:val="80"/>
        </w:rPr>
        <w:t>REMOVAL BEHAVIOURS</w:t>
      </w:r>
    </w:p>
    <w:p>
      <w:pPr>
        <w:pStyle w:val="BodyText"/>
        <w:rPr>
          <w:rFonts w:ascii="Arial"/>
          <w:sz w:val="20"/>
        </w:rPr>
      </w:pPr>
    </w:p>
    <w:p>
      <w:pPr>
        <w:pStyle w:val="BodyText"/>
        <w:rPr>
          <w:rFonts w:ascii="Arial"/>
          <w:sz w:val="20"/>
        </w:rPr>
      </w:pPr>
    </w:p>
    <w:p>
      <w:pPr>
        <w:pStyle w:val="BodyText"/>
        <w:spacing w:before="9"/>
        <w:rPr>
          <w:rFonts w:ascii="Arial"/>
          <w:sz w:val="17"/>
        </w:rPr>
      </w:pPr>
    </w:p>
    <w:p>
      <w:pPr>
        <w:spacing w:after="0"/>
        <w:rPr>
          <w:rFonts w:ascii="Arial"/>
          <w:sz w:val="17"/>
        </w:rPr>
        <w:sectPr>
          <w:pgSz w:w="11910" w:h="16840"/>
          <w:pgMar w:top="1120" w:bottom="280" w:left="0" w:right="0"/>
        </w:sectPr>
      </w:pPr>
    </w:p>
    <w:p>
      <w:pPr>
        <w:pStyle w:val="BodyText"/>
        <w:spacing w:line="276" w:lineRule="auto" w:before="98"/>
        <w:ind w:left="1700" w:right="-1"/>
      </w:pPr>
      <w:r>
        <w:rPr/>
        <w:pict>
          <v:rect style="position:absolute;margin-left:0pt;margin-top:-16.656273pt;width:595.276pt;height:7.364pt;mso-position-horizontal-relative:page;mso-position-vertical-relative:paragraph;z-index:1240" filled="true" fillcolor="#000000" stroked="false">
            <v:fill opacity="49152f" type="solid"/>
            <w10:wrap type="none"/>
          </v:rect>
        </w:pict>
      </w:r>
      <w:r>
        <w:rPr/>
        <w:t>The</w:t>
      </w:r>
      <w:r>
        <w:rPr>
          <w:spacing w:val="-17"/>
        </w:rPr>
        <w:t> </w:t>
      </w:r>
      <w:r>
        <w:rPr/>
        <w:t>behavioural</w:t>
      </w:r>
      <w:r>
        <w:rPr>
          <w:spacing w:val="-17"/>
        </w:rPr>
        <w:t> </w:t>
      </w:r>
      <w:r>
        <w:rPr/>
        <w:t>outcome</w:t>
      </w:r>
      <w:r>
        <w:rPr>
          <w:spacing w:val="-17"/>
        </w:rPr>
        <w:t> </w:t>
      </w:r>
      <w:r>
        <w:rPr/>
        <w:t>of</w:t>
      </w:r>
      <w:r>
        <w:rPr>
          <w:spacing w:val="-17"/>
        </w:rPr>
        <w:t> </w:t>
      </w:r>
      <w:r>
        <w:rPr/>
        <w:t>interest</w:t>
      </w:r>
      <w:r>
        <w:rPr>
          <w:spacing w:val="-17"/>
        </w:rPr>
        <w:t> </w:t>
      </w:r>
      <w:r>
        <w:rPr/>
        <w:t>for</w:t>
      </w:r>
      <w:r>
        <w:rPr>
          <w:spacing w:val="-17"/>
        </w:rPr>
        <w:t> </w:t>
      </w:r>
      <w:r>
        <w:rPr/>
        <w:t>this</w:t>
      </w:r>
      <w:r>
        <w:rPr>
          <w:spacing w:val="-17"/>
        </w:rPr>
        <w:t> </w:t>
      </w:r>
      <w:r>
        <w:rPr/>
        <w:t>research</w:t>
      </w:r>
      <w:r>
        <w:rPr>
          <w:spacing w:val="-17"/>
        </w:rPr>
        <w:t> </w:t>
      </w:r>
      <w:r>
        <w:rPr/>
        <w:t>is the</w:t>
      </w:r>
      <w:r>
        <w:rPr>
          <w:spacing w:val="-14"/>
        </w:rPr>
        <w:t> </w:t>
      </w:r>
      <w:r>
        <w:rPr/>
        <w:t>removal</w:t>
      </w:r>
      <w:r>
        <w:rPr>
          <w:spacing w:val="-14"/>
        </w:rPr>
        <w:t> </w:t>
      </w:r>
      <w:r>
        <w:rPr/>
        <w:t>(or</w:t>
      </w:r>
      <w:r>
        <w:rPr>
          <w:spacing w:val="-14"/>
        </w:rPr>
        <w:t> </w:t>
      </w:r>
      <w:r>
        <w:rPr/>
        <w:t>non-removal)</w:t>
      </w:r>
      <w:r>
        <w:rPr>
          <w:spacing w:val="-14"/>
        </w:rPr>
        <w:t> </w:t>
      </w:r>
      <w:r>
        <w:rPr/>
        <w:t>of</w:t>
      </w:r>
      <w:r>
        <w:rPr>
          <w:spacing w:val="-14"/>
        </w:rPr>
        <w:t> </w:t>
      </w:r>
      <w:r>
        <w:rPr/>
        <w:t>asbestos</w:t>
      </w:r>
      <w:r>
        <w:rPr>
          <w:spacing w:val="-14"/>
        </w:rPr>
        <w:t> </w:t>
      </w:r>
      <w:r>
        <w:rPr/>
        <w:t>from</w:t>
      </w:r>
      <w:r>
        <w:rPr>
          <w:spacing w:val="-14"/>
        </w:rPr>
        <w:t> </w:t>
      </w:r>
      <w:r>
        <w:rPr/>
        <w:t>homes. This section outlines the likelihood of removal of asbestos</w:t>
      </w:r>
      <w:r>
        <w:rPr>
          <w:spacing w:val="-17"/>
        </w:rPr>
        <w:t> </w:t>
      </w:r>
      <w:r>
        <w:rPr/>
        <w:t>in</w:t>
      </w:r>
      <w:r>
        <w:rPr>
          <w:spacing w:val="-17"/>
        </w:rPr>
        <w:t> </w:t>
      </w:r>
      <w:r>
        <w:rPr/>
        <w:t>the</w:t>
      </w:r>
      <w:r>
        <w:rPr>
          <w:spacing w:val="-17"/>
        </w:rPr>
        <w:t> </w:t>
      </w:r>
      <w:r>
        <w:rPr/>
        <w:t>scenarios</w:t>
      </w:r>
      <w:r>
        <w:rPr>
          <w:spacing w:val="-17"/>
        </w:rPr>
        <w:t> </w:t>
      </w:r>
      <w:r>
        <w:rPr/>
        <w:t>tested</w:t>
      </w:r>
      <w:r>
        <w:rPr>
          <w:spacing w:val="-17"/>
        </w:rPr>
        <w:t> </w:t>
      </w:r>
      <w:r>
        <w:rPr/>
        <w:t>in</w:t>
      </w:r>
      <w:r>
        <w:rPr>
          <w:spacing w:val="-17"/>
        </w:rPr>
        <w:t> </w:t>
      </w:r>
      <w:r>
        <w:rPr/>
        <w:t>the</w:t>
      </w:r>
      <w:r>
        <w:rPr>
          <w:spacing w:val="-17"/>
        </w:rPr>
        <w:t> </w:t>
      </w:r>
      <w:r>
        <w:rPr/>
        <w:t>conjoint</w:t>
      </w:r>
      <w:r>
        <w:rPr>
          <w:spacing w:val="-17"/>
        </w:rPr>
        <w:t> </w:t>
      </w:r>
      <w:r>
        <w:rPr/>
        <w:t>analysis, including</w:t>
      </w:r>
      <w:r>
        <w:rPr>
          <w:spacing w:val="-3"/>
        </w:rPr>
        <w:t> </w:t>
      </w:r>
      <w:r>
        <w:rPr/>
        <w:t>self-removal.</w:t>
      </w:r>
    </w:p>
    <w:p>
      <w:pPr>
        <w:pStyle w:val="Heading2"/>
        <w:spacing w:before="105"/>
        <w:ind w:right="-1"/>
      </w:pPr>
      <w:r>
        <w:rPr>
          <w:w w:val="80"/>
        </w:rPr>
        <w:t>Likelihood to remove under differing </w:t>
      </w:r>
      <w:r>
        <w:rPr>
          <w:w w:val="90"/>
        </w:rPr>
        <w:t>scenarios</w:t>
      </w:r>
    </w:p>
    <w:p>
      <w:pPr>
        <w:pStyle w:val="BodyText"/>
        <w:spacing w:line="273" w:lineRule="auto" w:before="148"/>
        <w:ind w:left="1700" w:right="152"/>
      </w:pPr>
      <w:r>
        <w:rPr/>
        <w:t>Given the four levels within the location factor, five within</w:t>
      </w:r>
      <w:r>
        <w:rPr>
          <w:spacing w:val="-15"/>
        </w:rPr>
        <w:t> </w:t>
      </w:r>
      <w:r>
        <w:rPr/>
        <w:t>government</w:t>
      </w:r>
      <w:r>
        <w:rPr>
          <w:spacing w:val="-15"/>
        </w:rPr>
        <w:t> </w:t>
      </w:r>
      <w:r>
        <w:rPr/>
        <w:t>initiatives,</w:t>
      </w:r>
      <w:r>
        <w:rPr>
          <w:spacing w:val="-15"/>
        </w:rPr>
        <w:t> </w:t>
      </w:r>
      <w:r>
        <w:rPr/>
        <w:t>and</w:t>
      </w:r>
      <w:r>
        <w:rPr>
          <w:spacing w:val="-15"/>
        </w:rPr>
        <w:t> </w:t>
      </w:r>
      <w:r>
        <w:rPr/>
        <w:t>three</w:t>
      </w:r>
      <w:r>
        <w:rPr>
          <w:spacing w:val="-15"/>
        </w:rPr>
        <w:t> </w:t>
      </w:r>
      <w:r>
        <w:rPr/>
        <w:t>within</w:t>
      </w:r>
      <w:r>
        <w:rPr>
          <w:spacing w:val="-15"/>
        </w:rPr>
        <w:t> </w:t>
      </w:r>
      <w:r>
        <w:rPr/>
        <w:t>size/ price, there are 60 different combinations that can be considered by the model </w:t>
      </w:r>
      <w:r>
        <w:rPr>
          <w:spacing w:val="-3"/>
        </w:rPr>
        <w:t>(4 </w:t>
      </w:r>
      <w:r>
        <w:rPr/>
        <w:t>x 5 x </w:t>
      </w:r>
      <w:r>
        <w:rPr>
          <w:spacing w:val="-4"/>
        </w:rPr>
        <w:t>3). </w:t>
      </w:r>
      <w:r>
        <w:rPr/>
        <w:t>For each combination, the model predicts the proportion of homeowners</w:t>
      </w:r>
      <w:r>
        <w:rPr>
          <w:spacing w:val="-14"/>
        </w:rPr>
        <w:t> </w:t>
      </w:r>
      <w:r>
        <w:rPr/>
        <w:t>who</w:t>
      </w:r>
      <w:r>
        <w:rPr>
          <w:spacing w:val="-14"/>
        </w:rPr>
        <w:t> </w:t>
      </w:r>
      <w:r>
        <w:rPr/>
        <w:t>will</w:t>
      </w:r>
      <w:r>
        <w:rPr>
          <w:spacing w:val="-14"/>
        </w:rPr>
        <w:t> </w:t>
      </w:r>
      <w:r>
        <w:rPr/>
        <w:t>rate</w:t>
      </w:r>
      <w:r>
        <w:rPr>
          <w:spacing w:val="-14"/>
        </w:rPr>
        <w:t> </w:t>
      </w:r>
      <w:r>
        <w:rPr/>
        <w:t>their</w:t>
      </w:r>
      <w:r>
        <w:rPr>
          <w:spacing w:val="-14"/>
        </w:rPr>
        <w:t> </w:t>
      </w:r>
      <w:r>
        <w:rPr/>
        <w:t>likelihood</w:t>
      </w:r>
      <w:r>
        <w:rPr>
          <w:spacing w:val="-14"/>
        </w:rPr>
        <w:t> </w:t>
      </w:r>
      <w:r>
        <w:rPr/>
        <w:t>to</w:t>
      </w:r>
      <w:r>
        <w:rPr>
          <w:spacing w:val="-14"/>
        </w:rPr>
        <w:t> </w:t>
      </w:r>
      <w:r>
        <w:rPr/>
        <w:t>remove</w:t>
      </w:r>
    </w:p>
    <w:p>
      <w:pPr>
        <w:pStyle w:val="BodyText"/>
        <w:ind w:left="1700"/>
      </w:pPr>
      <w:r>
        <w:rPr/>
        <w:t>asbestos</w:t>
      </w:r>
      <w:r>
        <w:rPr>
          <w:spacing w:val="-13"/>
        </w:rPr>
        <w:t> </w:t>
      </w:r>
      <w:r>
        <w:rPr/>
        <w:t>immediately</w:t>
      </w:r>
      <w:r>
        <w:rPr>
          <w:spacing w:val="-13"/>
        </w:rPr>
        <w:t> </w:t>
      </w:r>
      <w:r>
        <w:rPr/>
        <w:t>at</w:t>
      </w:r>
      <w:r>
        <w:rPr>
          <w:spacing w:val="-13"/>
        </w:rPr>
        <w:t> </w:t>
      </w:r>
      <w:r>
        <w:rPr/>
        <w:t>each</w:t>
      </w:r>
      <w:r>
        <w:rPr>
          <w:spacing w:val="-13"/>
        </w:rPr>
        <w:t> </w:t>
      </w:r>
      <w:r>
        <w:rPr/>
        <w:t>point</w:t>
      </w:r>
      <w:r>
        <w:rPr>
          <w:spacing w:val="-13"/>
        </w:rPr>
        <w:t> </w:t>
      </w:r>
      <w:r>
        <w:rPr/>
        <w:t>on</w:t>
      </w:r>
      <w:r>
        <w:rPr>
          <w:spacing w:val="-13"/>
        </w:rPr>
        <w:t> </w:t>
      </w:r>
      <w:r>
        <w:rPr/>
        <w:t>the</w:t>
      </w:r>
      <w:r>
        <w:rPr>
          <w:spacing w:val="-13"/>
        </w:rPr>
        <w:t> </w:t>
      </w:r>
      <w:r>
        <w:rPr/>
        <w:t>Juster</w:t>
      </w:r>
      <w:r>
        <w:rPr>
          <w:spacing w:val="-13"/>
        </w:rPr>
        <w:t> </w:t>
      </w:r>
      <w:r>
        <w:rPr/>
        <w:t>scale.</w:t>
      </w:r>
    </w:p>
    <w:p>
      <w:pPr>
        <w:pStyle w:val="BodyText"/>
        <w:spacing w:line="273" w:lineRule="auto" w:before="97"/>
        <w:ind w:left="466" w:right="1627"/>
      </w:pPr>
      <w:r>
        <w:rPr/>
        <w:br w:type="column"/>
      </w:r>
      <w:r>
        <w:rPr/>
        <w:t>The Juster scale used seven descriptors ranging from no chance, almost no chance (1 in 100) through to certain, almost certain (99 in 100).</w:t>
      </w:r>
    </w:p>
    <w:p>
      <w:pPr>
        <w:pStyle w:val="BodyText"/>
        <w:spacing w:line="273" w:lineRule="auto" w:before="71"/>
        <w:ind w:left="466" w:right="1470"/>
      </w:pPr>
      <w:r>
        <w:rPr>
          <w:spacing w:val="-4"/>
        </w:rPr>
        <w:t>Table</w:t>
      </w:r>
      <w:r>
        <w:rPr>
          <w:spacing w:val="-14"/>
        </w:rPr>
        <w:t> </w:t>
      </w:r>
      <w:r>
        <w:rPr/>
        <w:t>2</w:t>
      </w:r>
      <w:r>
        <w:rPr>
          <w:spacing w:val="-14"/>
        </w:rPr>
        <w:t> </w:t>
      </w:r>
      <w:r>
        <w:rPr/>
        <w:t>shows</w:t>
      </w:r>
      <w:r>
        <w:rPr>
          <w:spacing w:val="-14"/>
        </w:rPr>
        <w:t> </w:t>
      </w:r>
      <w:r>
        <w:rPr/>
        <w:t>the</w:t>
      </w:r>
      <w:r>
        <w:rPr>
          <w:spacing w:val="-14"/>
        </w:rPr>
        <w:t> </w:t>
      </w:r>
      <w:r>
        <w:rPr/>
        <w:t>top</w:t>
      </w:r>
      <w:r>
        <w:rPr>
          <w:spacing w:val="-14"/>
        </w:rPr>
        <w:t> </w:t>
      </w:r>
      <w:r>
        <w:rPr/>
        <w:t>20</w:t>
      </w:r>
      <w:r>
        <w:rPr>
          <w:spacing w:val="-14"/>
        </w:rPr>
        <w:t> </w:t>
      </w:r>
      <w:r>
        <w:rPr/>
        <w:t>factor</w:t>
      </w:r>
      <w:r>
        <w:rPr>
          <w:spacing w:val="-14"/>
        </w:rPr>
        <w:t> </w:t>
      </w:r>
      <w:r>
        <w:rPr/>
        <w:t>combinations</w:t>
      </w:r>
      <w:r>
        <w:rPr>
          <w:spacing w:val="-14"/>
        </w:rPr>
        <w:t> </w:t>
      </w:r>
      <w:r>
        <w:rPr/>
        <w:t>when</w:t>
      </w:r>
      <w:r>
        <w:rPr>
          <w:spacing w:val="-14"/>
        </w:rPr>
        <w:t> </w:t>
      </w:r>
      <w:r>
        <w:rPr/>
        <w:t>ranked by predicted likelihood to remove asbestos as certain, almost</w:t>
      </w:r>
      <w:r>
        <w:rPr>
          <w:spacing w:val="-15"/>
        </w:rPr>
        <w:t> </w:t>
      </w:r>
      <w:r>
        <w:rPr/>
        <w:t>certain</w:t>
      </w:r>
      <w:r>
        <w:rPr>
          <w:spacing w:val="-15"/>
        </w:rPr>
        <w:t> </w:t>
      </w:r>
      <w:r>
        <w:rPr>
          <w:spacing w:val="-3"/>
        </w:rPr>
        <w:t>(99</w:t>
      </w:r>
      <w:r>
        <w:rPr>
          <w:spacing w:val="-15"/>
        </w:rPr>
        <w:t> </w:t>
      </w:r>
      <w:r>
        <w:rPr/>
        <w:t>in</w:t>
      </w:r>
      <w:r>
        <w:rPr>
          <w:spacing w:val="-15"/>
        </w:rPr>
        <w:t> </w:t>
      </w:r>
      <w:r>
        <w:rPr>
          <w:spacing w:val="-4"/>
        </w:rPr>
        <w:t>100),</w:t>
      </w:r>
      <w:r>
        <w:rPr>
          <w:spacing w:val="-15"/>
        </w:rPr>
        <w:t> </w:t>
      </w:r>
      <w:r>
        <w:rPr/>
        <w:t>almost</w:t>
      </w:r>
      <w:r>
        <w:rPr>
          <w:spacing w:val="-15"/>
        </w:rPr>
        <w:t> </w:t>
      </w:r>
      <w:r>
        <w:rPr/>
        <w:t>sure</w:t>
      </w:r>
      <w:r>
        <w:rPr>
          <w:spacing w:val="-15"/>
        </w:rPr>
        <w:t> </w:t>
      </w:r>
      <w:r>
        <w:rPr>
          <w:spacing w:val="-4"/>
        </w:rPr>
        <w:t>(9</w:t>
      </w:r>
      <w:r>
        <w:rPr>
          <w:spacing w:val="-15"/>
        </w:rPr>
        <w:t> </w:t>
      </w:r>
      <w:r>
        <w:rPr/>
        <w:t>in</w:t>
      </w:r>
      <w:r>
        <w:rPr>
          <w:spacing w:val="-15"/>
        </w:rPr>
        <w:t> </w:t>
      </w:r>
      <w:r>
        <w:rPr>
          <w:spacing w:val="-5"/>
        </w:rPr>
        <w:t>10)</w:t>
      </w:r>
      <w:r>
        <w:rPr>
          <w:spacing w:val="-15"/>
        </w:rPr>
        <w:t> </w:t>
      </w:r>
      <w:r>
        <w:rPr/>
        <w:t>or</w:t>
      </w:r>
      <w:r>
        <w:rPr>
          <w:spacing w:val="-15"/>
        </w:rPr>
        <w:t> </w:t>
      </w:r>
      <w:r>
        <w:rPr/>
        <w:t>probable (7 in </w:t>
      </w:r>
      <w:r>
        <w:rPr>
          <w:spacing w:val="-5"/>
        </w:rPr>
        <w:t>10). </w:t>
      </w:r>
      <w:r>
        <w:rPr/>
        <w:t>This proportion is shown in the top-three box (T3B)</w:t>
      </w:r>
      <w:r>
        <w:rPr>
          <w:spacing w:val="-20"/>
        </w:rPr>
        <w:t> </w:t>
      </w:r>
      <w:r>
        <w:rPr/>
        <w:t>column.</w:t>
      </w:r>
      <w:r>
        <w:rPr>
          <w:spacing w:val="-20"/>
        </w:rPr>
        <w:t> </w:t>
      </w:r>
      <w:r>
        <w:rPr/>
        <w:t>For</w:t>
      </w:r>
      <w:r>
        <w:rPr>
          <w:spacing w:val="-20"/>
        </w:rPr>
        <w:t> </w:t>
      </w:r>
      <w:r>
        <w:rPr/>
        <w:t>example,</w:t>
      </w:r>
      <w:r>
        <w:rPr>
          <w:spacing w:val="-20"/>
        </w:rPr>
        <w:t> </w:t>
      </w:r>
      <w:r>
        <w:rPr/>
        <w:t>the</w:t>
      </w:r>
      <w:r>
        <w:rPr>
          <w:spacing w:val="-20"/>
        </w:rPr>
        <w:t> </w:t>
      </w:r>
      <w:r>
        <w:rPr/>
        <w:t>first</w:t>
      </w:r>
      <w:r>
        <w:rPr>
          <w:spacing w:val="-20"/>
        </w:rPr>
        <w:t> </w:t>
      </w:r>
      <w:r>
        <w:rPr/>
        <w:t>row</w:t>
      </w:r>
      <w:r>
        <w:rPr>
          <w:spacing w:val="-20"/>
        </w:rPr>
        <w:t> </w:t>
      </w:r>
      <w:r>
        <w:rPr/>
        <w:t>shows</w:t>
      </w:r>
      <w:r>
        <w:rPr>
          <w:spacing w:val="-20"/>
        </w:rPr>
        <w:t> </w:t>
      </w:r>
      <w:r>
        <w:rPr/>
        <w:t>the</w:t>
      </w:r>
      <w:r>
        <w:rPr>
          <w:spacing w:val="-20"/>
        </w:rPr>
        <w:t> </w:t>
      </w:r>
      <w:r>
        <w:rPr/>
        <w:t>scenario in which the most homeowners are likely to remove asbestos. Here, </w:t>
      </w:r>
      <w:r>
        <w:rPr>
          <w:spacing w:val="-4"/>
        </w:rPr>
        <w:t>43% </w:t>
      </w:r>
      <w:r>
        <w:rPr/>
        <w:t>of homeowners indicate that it is at least probable that they would remove a small volume of asbestos</w:t>
      </w:r>
      <w:r>
        <w:rPr>
          <w:spacing w:val="-23"/>
        </w:rPr>
        <w:t> </w:t>
      </w:r>
      <w:r>
        <w:rPr/>
        <w:t>from</w:t>
      </w:r>
      <w:r>
        <w:rPr>
          <w:spacing w:val="-23"/>
        </w:rPr>
        <w:t> </w:t>
      </w:r>
      <w:r>
        <w:rPr/>
        <w:t>their</w:t>
      </w:r>
      <w:r>
        <w:rPr>
          <w:spacing w:val="-23"/>
        </w:rPr>
        <w:t> </w:t>
      </w:r>
      <w:r>
        <w:rPr/>
        <w:t>bathroom</w:t>
      </w:r>
      <w:r>
        <w:rPr>
          <w:spacing w:val="-23"/>
        </w:rPr>
        <w:t> </w:t>
      </w:r>
      <w:r>
        <w:rPr/>
        <w:t>if</w:t>
      </w:r>
      <w:r>
        <w:rPr>
          <w:spacing w:val="-23"/>
        </w:rPr>
        <w:t> </w:t>
      </w:r>
      <w:r>
        <w:rPr/>
        <w:t>provided</w:t>
      </w:r>
      <w:r>
        <w:rPr>
          <w:spacing w:val="-23"/>
        </w:rPr>
        <w:t> </w:t>
      </w:r>
      <w:r>
        <w:rPr/>
        <w:t>with</w:t>
      </w:r>
      <w:r>
        <w:rPr>
          <w:spacing w:val="-23"/>
        </w:rPr>
        <w:t> </w:t>
      </w:r>
      <w:r>
        <w:rPr/>
        <w:t>free</w:t>
      </w:r>
      <w:r>
        <w:rPr>
          <w:spacing w:val="-23"/>
        </w:rPr>
        <w:t> </w:t>
      </w:r>
      <w:r>
        <w:rPr/>
        <w:t>disposal.</w:t>
      </w:r>
    </w:p>
    <w:p>
      <w:pPr>
        <w:pStyle w:val="BodyText"/>
        <w:spacing w:line="273" w:lineRule="auto" w:before="72"/>
        <w:ind w:left="466" w:right="1604"/>
        <w:jc w:val="both"/>
      </w:pPr>
      <w:r>
        <w:rPr/>
        <w:t>The</w:t>
      </w:r>
      <w:r>
        <w:rPr>
          <w:spacing w:val="-12"/>
        </w:rPr>
        <w:t> </w:t>
      </w:r>
      <w:r>
        <w:rPr/>
        <w:t>pattern</w:t>
      </w:r>
      <w:r>
        <w:rPr>
          <w:spacing w:val="-12"/>
        </w:rPr>
        <w:t> </w:t>
      </w:r>
      <w:r>
        <w:rPr/>
        <w:t>of</w:t>
      </w:r>
      <w:r>
        <w:rPr>
          <w:spacing w:val="-12"/>
        </w:rPr>
        <w:t> </w:t>
      </w:r>
      <w:r>
        <w:rPr/>
        <w:t>findings</w:t>
      </w:r>
      <w:r>
        <w:rPr>
          <w:spacing w:val="-12"/>
        </w:rPr>
        <w:t> </w:t>
      </w:r>
      <w:r>
        <w:rPr/>
        <w:t>for</w:t>
      </w:r>
      <w:r>
        <w:rPr>
          <w:spacing w:val="-12"/>
        </w:rPr>
        <w:t> </w:t>
      </w:r>
      <w:r>
        <w:rPr>
          <w:spacing w:val="-3"/>
        </w:rPr>
        <w:t>Table</w:t>
      </w:r>
      <w:r>
        <w:rPr>
          <w:spacing w:val="-12"/>
        </w:rPr>
        <w:t> </w:t>
      </w:r>
      <w:r>
        <w:rPr/>
        <w:t>2</w:t>
      </w:r>
      <w:r>
        <w:rPr>
          <w:spacing w:val="-12"/>
        </w:rPr>
        <w:t> </w:t>
      </w:r>
      <w:r>
        <w:rPr/>
        <w:t>shows</w:t>
      </w:r>
      <w:r>
        <w:rPr>
          <w:spacing w:val="-12"/>
        </w:rPr>
        <w:t> </w:t>
      </w:r>
      <w:r>
        <w:rPr/>
        <w:t>that</w:t>
      </w:r>
      <w:r>
        <w:rPr>
          <w:spacing w:val="-12"/>
        </w:rPr>
        <w:t> </w:t>
      </w:r>
      <w:r>
        <w:rPr/>
        <w:t>lowest-cost removal</w:t>
      </w:r>
      <w:r>
        <w:rPr>
          <w:spacing w:val="-13"/>
        </w:rPr>
        <w:t> </w:t>
      </w:r>
      <w:r>
        <w:rPr/>
        <w:t>and</w:t>
      </w:r>
      <w:r>
        <w:rPr>
          <w:spacing w:val="-13"/>
        </w:rPr>
        <w:t> </w:t>
      </w:r>
      <w:r>
        <w:rPr/>
        <w:t>disposal</w:t>
      </w:r>
      <w:r>
        <w:rPr>
          <w:spacing w:val="-13"/>
        </w:rPr>
        <w:t> </w:t>
      </w:r>
      <w:r>
        <w:rPr/>
        <w:t>options</w:t>
      </w:r>
      <w:r>
        <w:rPr>
          <w:spacing w:val="-13"/>
        </w:rPr>
        <w:t> </w:t>
      </w:r>
      <w:r>
        <w:rPr/>
        <w:t>are</w:t>
      </w:r>
      <w:r>
        <w:rPr>
          <w:spacing w:val="-13"/>
        </w:rPr>
        <w:t> </w:t>
      </w:r>
      <w:r>
        <w:rPr/>
        <w:t>consistently</w:t>
      </w:r>
      <w:r>
        <w:rPr>
          <w:spacing w:val="-13"/>
        </w:rPr>
        <w:t> </w:t>
      </w:r>
      <w:r>
        <w:rPr/>
        <w:t>those</w:t>
      </w:r>
      <w:r>
        <w:rPr>
          <w:spacing w:val="-13"/>
        </w:rPr>
        <w:t> </w:t>
      </w:r>
      <w:r>
        <w:rPr/>
        <w:t>with the highest rates of likelihood to</w:t>
      </w:r>
      <w:r>
        <w:rPr>
          <w:spacing w:val="-27"/>
        </w:rPr>
        <w:t> </w:t>
      </w:r>
      <w:r>
        <w:rPr/>
        <w:t>remove.</w:t>
      </w:r>
    </w:p>
    <w:p>
      <w:pPr>
        <w:spacing w:after="0" w:line="273" w:lineRule="auto"/>
        <w:jc w:val="both"/>
        <w:sectPr>
          <w:type w:val="continuous"/>
          <w:pgSz w:w="11910" w:h="16840"/>
          <w:pgMar w:top="1580" w:bottom="280" w:left="0" w:right="0"/>
          <w:cols w:num="2" w:equalWidth="0">
            <w:col w:w="5674" w:space="40"/>
            <w:col w:w="6196"/>
          </w:cols>
        </w:sectPr>
      </w:pPr>
    </w:p>
    <w:p>
      <w:pPr>
        <w:pStyle w:val="BodyText"/>
        <w:rPr>
          <w:sz w:val="21"/>
        </w:rPr>
      </w:pPr>
    </w:p>
    <w:tbl>
      <w:tblPr>
        <w:tblW w:w="0" w:type="auto"/>
        <w:jc w:val="left"/>
        <w:tblInd w:w="17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1361"/>
        <w:gridCol w:w="1474"/>
        <w:gridCol w:w="1077"/>
        <w:gridCol w:w="1417"/>
        <w:gridCol w:w="1077"/>
        <w:gridCol w:w="1077"/>
        <w:gridCol w:w="1077"/>
      </w:tblGrid>
      <w:tr>
        <w:trPr>
          <w:trHeight w:val="443" w:hRule="atLeast"/>
        </w:trPr>
        <w:tc>
          <w:tcPr>
            <w:tcW w:w="3912" w:type="dxa"/>
            <w:gridSpan w:val="3"/>
            <w:tcBorders>
              <w:top w:val="nil"/>
              <w:left w:val="nil"/>
              <w:bottom w:val="nil"/>
            </w:tcBorders>
          </w:tcPr>
          <w:p>
            <w:pPr>
              <w:pStyle w:val="TableParagraph"/>
              <w:spacing w:line="148" w:lineRule="exact" w:before="0"/>
              <w:ind w:left="2"/>
              <w:jc w:val="left"/>
              <w:rPr>
                <w:rFonts w:ascii="Arial"/>
                <w:sz w:val="18"/>
              </w:rPr>
            </w:pPr>
            <w:r>
              <w:rPr>
                <w:rFonts w:ascii="Arial"/>
                <w:w w:val="95"/>
                <w:sz w:val="18"/>
              </w:rPr>
              <w:t>Table</w:t>
            </w:r>
            <w:r>
              <w:rPr>
                <w:rFonts w:ascii="Arial"/>
                <w:spacing w:val="-26"/>
                <w:w w:val="95"/>
                <w:sz w:val="18"/>
              </w:rPr>
              <w:t> </w:t>
            </w:r>
            <w:r>
              <w:rPr>
                <w:rFonts w:ascii="Arial"/>
                <w:spacing w:val="1"/>
                <w:w w:val="95"/>
                <w:sz w:val="18"/>
              </w:rPr>
              <w:t>2:</w:t>
            </w:r>
            <w:r>
              <w:rPr>
                <w:rFonts w:ascii="Arial"/>
                <w:spacing w:val="-26"/>
                <w:w w:val="95"/>
                <w:sz w:val="18"/>
              </w:rPr>
              <w:t> </w:t>
            </w:r>
            <w:r>
              <w:rPr>
                <w:rFonts w:ascii="Arial"/>
                <w:w w:val="95"/>
                <w:sz w:val="18"/>
              </w:rPr>
              <w:t>Top</w:t>
            </w:r>
            <w:r>
              <w:rPr>
                <w:rFonts w:ascii="Arial"/>
                <w:spacing w:val="-26"/>
                <w:w w:val="95"/>
                <w:sz w:val="18"/>
              </w:rPr>
              <w:t> </w:t>
            </w:r>
            <w:r>
              <w:rPr>
                <w:rFonts w:ascii="Arial"/>
                <w:w w:val="95"/>
                <w:sz w:val="18"/>
              </w:rPr>
              <w:t>20</w:t>
            </w:r>
            <w:r>
              <w:rPr>
                <w:rFonts w:ascii="Arial"/>
                <w:spacing w:val="-26"/>
                <w:w w:val="95"/>
                <w:sz w:val="18"/>
              </w:rPr>
              <w:t> </w:t>
            </w:r>
            <w:r>
              <w:rPr>
                <w:rFonts w:ascii="Arial"/>
                <w:w w:val="95"/>
                <w:sz w:val="18"/>
              </w:rPr>
              <w:t>factor</w:t>
            </w:r>
            <w:r>
              <w:rPr>
                <w:rFonts w:ascii="Arial"/>
                <w:spacing w:val="-26"/>
                <w:w w:val="95"/>
                <w:sz w:val="18"/>
              </w:rPr>
              <w:t> </w:t>
            </w:r>
            <w:r>
              <w:rPr>
                <w:rFonts w:ascii="Arial"/>
                <w:w w:val="95"/>
                <w:sz w:val="18"/>
              </w:rPr>
              <w:t>combinations</w:t>
            </w:r>
            <w:r>
              <w:rPr>
                <w:rFonts w:ascii="Arial"/>
                <w:spacing w:val="-26"/>
                <w:w w:val="95"/>
                <w:sz w:val="18"/>
              </w:rPr>
              <w:t> </w:t>
            </w:r>
            <w:r>
              <w:rPr>
                <w:rFonts w:ascii="Arial"/>
                <w:w w:val="95"/>
                <w:sz w:val="18"/>
              </w:rPr>
              <w:t>by</w:t>
            </w:r>
            <w:r>
              <w:rPr>
                <w:rFonts w:ascii="Arial"/>
                <w:spacing w:val="-26"/>
                <w:w w:val="95"/>
                <w:sz w:val="18"/>
              </w:rPr>
              <w:t> </w:t>
            </w:r>
            <w:r>
              <w:rPr>
                <w:rFonts w:ascii="Arial"/>
                <w:w w:val="95"/>
                <w:sz w:val="18"/>
              </w:rPr>
              <w:t>likelihood</w:t>
            </w:r>
            <w:r>
              <w:rPr>
                <w:rFonts w:ascii="Arial"/>
                <w:spacing w:val="-26"/>
                <w:w w:val="95"/>
                <w:sz w:val="18"/>
              </w:rPr>
              <w:t> </w:t>
            </w:r>
            <w:r>
              <w:rPr>
                <w:rFonts w:ascii="Arial"/>
                <w:w w:val="95"/>
                <w:sz w:val="18"/>
              </w:rPr>
              <w:t>to</w:t>
            </w:r>
          </w:p>
          <w:p>
            <w:pPr>
              <w:pStyle w:val="TableParagraph"/>
              <w:spacing w:before="4"/>
              <w:ind w:left="2"/>
              <w:jc w:val="left"/>
              <w:rPr>
                <w:rFonts w:ascii="Arial"/>
                <w:sz w:val="18"/>
              </w:rPr>
            </w:pPr>
            <w:r>
              <w:rPr>
                <w:rFonts w:ascii="Arial"/>
                <w:w w:val="90"/>
                <w:sz w:val="18"/>
              </w:rPr>
              <w:t>remove asbestos</w:t>
            </w:r>
          </w:p>
        </w:tc>
        <w:tc>
          <w:tcPr>
            <w:tcW w:w="4648" w:type="dxa"/>
            <w:gridSpan w:val="4"/>
            <w:shd w:val="clear" w:color="auto" w:fill="1C75BC"/>
          </w:tcPr>
          <w:p>
            <w:pPr>
              <w:pStyle w:val="TableParagraph"/>
              <w:spacing w:before="118"/>
              <w:ind w:left="1492"/>
              <w:jc w:val="left"/>
              <w:rPr>
                <w:b/>
                <w:sz w:val="18"/>
              </w:rPr>
            </w:pPr>
            <w:r>
              <w:rPr>
                <w:b/>
                <w:color w:val="FFFFFF"/>
                <w:w w:val="105"/>
                <w:sz w:val="18"/>
              </w:rPr>
              <w:t>Juster scale response</w:t>
            </w:r>
          </w:p>
        </w:tc>
      </w:tr>
      <w:tr>
        <w:trPr>
          <w:trHeight w:val="598" w:hRule="atLeast"/>
        </w:trPr>
        <w:tc>
          <w:tcPr>
            <w:tcW w:w="1361" w:type="dxa"/>
            <w:tcBorders>
              <w:top w:val="nil"/>
              <w:left w:val="nil"/>
            </w:tcBorders>
            <w:shd w:val="clear" w:color="auto" w:fill="1C75BC"/>
          </w:tcPr>
          <w:p>
            <w:pPr>
              <w:pStyle w:val="TableParagraph"/>
              <w:spacing w:before="195"/>
              <w:ind w:left="99" w:right="90"/>
              <w:rPr>
                <w:b/>
                <w:sz w:val="18"/>
              </w:rPr>
            </w:pPr>
            <w:r>
              <w:rPr>
                <w:b/>
                <w:color w:val="FFFFFF"/>
                <w:w w:val="105"/>
                <w:sz w:val="18"/>
              </w:rPr>
              <w:t>Location</w:t>
            </w:r>
          </w:p>
        </w:tc>
        <w:tc>
          <w:tcPr>
            <w:tcW w:w="1474" w:type="dxa"/>
            <w:shd w:val="clear" w:color="auto" w:fill="1C75BC"/>
          </w:tcPr>
          <w:p>
            <w:pPr>
              <w:pStyle w:val="TableParagraph"/>
              <w:spacing w:line="196" w:lineRule="auto" w:before="136"/>
              <w:ind w:left="387" w:right="215" w:hanging="150"/>
              <w:jc w:val="left"/>
              <w:rPr>
                <w:b/>
                <w:sz w:val="18"/>
              </w:rPr>
            </w:pPr>
            <w:r>
              <w:rPr>
                <w:b/>
                <w:color w:val="FFFFFF"/>
                <w:w w:val="105"/>
                <w:sz w:val="18"/>
              </w:rPr>
              <w:t>Government initiative</w:t>
            </w:r>
          </w:p>
        </w:tc>
        <w:tc>
          <w:tcPr>
            <w:tcW w:w="1077" w:type="dxa"/>
            <w:shd w:val="clear" w:color="auto" w:fill="1C75BC"/>
          </w:tcPr>
          <w:p>
            <w:pPr>
              <w:pStyle w:val="TableParagraph"/>
              <w:spacing w:before="195"/>
              <w:ind w:left="105" w:right="101"/>
              <w:rPr>
                <w:b/>
                <w:sz w:val="18"/>
              </w:rPr>
            </w:pPr>
            <w:r>
              <w:rPr>
                <w:b/>
                <w:color w:val="FFFFFF"/>
                <w:sz w:val="18"/>
              </w:rPr>
              <w:t>Size / price</w:t>
            </w:r>
          </w:p>
        </w:tc>
        <w:tc>
          <w:tcPr>
            <w:tcW w:w="1417" w:type="dxa"/>
            <w:shd w:val="clear" w:color="auto" w:fill="1C75BC"/>
          </w:tcPr>
          <w:p>
            <w:pPr>
              <w:pStyle w:val="TableParagraph"/>
              <w:spacing w:line="180" w:lineRule="exact" w:before="42"/>
              <w:ind w:left="68" w:right="60" w:hanging="1"/>
              <w:rPr>
                <w:b/>
                <w:sz w:val="18"/>
              </w:rPr>
            </w:pPr>
            <w:r>
              <w:rPr>
                <w:b/>
                <w:color w:val="FFFFFF"/>
                <w:sz w:val="18"/>
              </w:rPr>
              <w:t>Certain/ </w:t>
            </w:r>
            <w:r>
              <w:rPr>
                <w:b/>
                <w:color w:val="FFFFFF"/>
                <w:w w:val="95"/>
                <w:sz w:val="18"/>
              </w:rPr>
              <w:t>Practically certain </w:t>
            </w:r>
            <w:r>
              <w:rPr>
                <w:b/>
                <w:color w:val="FFFFFF"/>
                <w:sz w:val="18"/>
              </w:rPr>
              <w:t>(99 in 100)</w:t>
            </w:r>
          </w:p>
        </w:tc>
        <w:tc>
          <w:tcPr>
            <w:tcW w:w="1077" w:type="dxa"/>
            <w:shd w:val="clear" w:color="auto" w:fill="1C75BC"/>
          </w:tcPr>
          <w:p>
            <w:pPr>
              <w:pStyle w:val="TableParagraph"/>
              <w:spacing w:line="196" w:lineRule="auto" w:before="136"/>
              <w:ind w:left="316" w:hanging="247"/>
              <w:jc w:val="left"/>
              <w:rPr>
                <w:b/>
                <w:sz w:val="18"/>
              </w:rPr>
            </w:pPr>
            <w:r>
              <w:rPr>
                <w:b/>
                <w:color w:val="FFFFFF"/>
                <w:sz w:val="18"/>
              </w:rPr>
              <w:t>Almost sure (9/10)</w:t>
            </w:r>
          </w:p>
        </w:tc>
        <w:tc>
          <w:tcPr>
            <w:tcW w:w="1077" w:type="dxa"/>
            <w:shd w:val="clear" w:color="auto" w:fill="1C75BC"/>
          </w:tcPr>
          <w:p>
            <w:pPr>
              <w:pStyle w:val="TableParagraph"/>
              <w:spacing w:line="196" w:lineRule="auto" w:before="136"/>
              <w:ind w:left="230" w:right="161" w:hanging="52"/>
              <w:jc w:val="left"/>
              <w:rPr>
                <w:b/>
                <w:sz w:val="18"/>
              </w:rPr>
            </w:pPr>
            <w:r>
              <w:rPr>
                <w:b/>
                <w:color w:val="FFFFFF"/>
                <w:w w:val="105"/>
                <w:sz w:val="18"/>
              </w:rPr>
              <w:t>Probable (7 in 10)</w:t>
            </w:r>
          </w:p>
        </w:tc>
        <w:tc>
          <w:tcPr>
            <w:tcW w:w="1077" w:type="dxa"/>
            <w:shd w:val="clear" w:color="auto" w:fill="1C75BC"/>
          </w:tcPr>
          <w:p>
            <w:pPr>
              <w:pStyle w:val="TableParagraph"/>
              <w:spacing w:before="195"/>
              <w:ind w:left="388"/>
              <w:jc w:val="left"/>
              <w:rPr>
                <w:b/>
                <w:sz w:val="18"/>
              </w:rPr>
            </w:pPr>
            <w:r>
              <w:rPr>
                <w:b/>
                <w:color w:val="FFFFFF"/>
                <w:w w:val="105"/>
                <w:sz w:val="18"/>
              </w:rPr>
              <w:t>T3B</w:t>
            </w:r>
          </w:p>
        </w:tc>
      </w:tr>
      <w:tr>
        <w:trPr>
          <w:trHeight w:val="386" w:hRule="atLeast"/>
        </w:trPr>
        <w:tc>
          <w:tcPr>
            <w:tcW w:w="1361" w:type="dxa"/>
            <w:tcBorders>
              <w:left w:val="single" w:sz="2" w:space="0" w:color="1C75BC"/>
              <w:bottom w:val="single" w:sz="2" w:space="0" w:color="1C75BC"/>
              <w:right w:val="nil"/>
            </w:tcBorders>
            <w:shd w:val="clear" w:color="auto" w:fill="B9C9E7"/>
          </w:tcPr>
          <w:p>
            <w:pPr>
              <w:pStyle w:val="TableParagraph"/>
              <w:spacing w:before="89"/>
              <w:ind w:left="96" w:right="94"/>
              <w:rPr>
                <w:sz w:val="18"/>
              </w:rPr>
            </w:pPr>
            <w:r>
              <w:rPr>
                <w:sz w:val="18"/>
              </w:rPr>
              <w:t>Bathroom</w:t>
            </w:r>
          </w:p>
        </w:tc>
        <w:tc>
          <w:tcPr>
            <w:tcW w:w="1474" w:type="dxa"/>
            <w:tcBorders>
              <w:left w:val="nil"/>
              <w:right w:val="nil"/>
            </w:tcBorders>
            <w:shd w:val="clear" w:color="auto" w:fill="1C75BC"/>
          </w:tcPr>
          <w:p>
            <w:pPr>
              <w:pStyle w:val="TableParagraph"/>
              <w:spacing w:before="89"/>
              <w:ind w:left="239" w:right="235"/>
              <w:rPr>
                <w:sz w:val="18"/>
              </w:rPr>
            </w:pPr>
            <w:r>
              <w:rPr>
                <w:color w:val="FFFFFF"/>
                <w:sz w:val="18"/>
              </w:rPr>
              <w:t>Free disposal</w:t>
            </w:r>
          </w:p>
        </w:tc>
        <w:tc>
          <w:tcPr>
            <w:tcW w:w="1077" w:type="dxa"/>
            <w:tcBorders>
              <w:left w:val="nil"/>
              <w:bottom w:val="single" w:sz="2" w:space="0" w:color="1C75BC"/>
              <w:right w:val="single" w:sz="2" w:space="0" w:color="1C75BC"/>
            </w:tcBorders>
            <w:shd w:val="clear" w:color="auto" w:fill="E5E9F6"/>
          </w:tcPr>
          <w:p>
            <w:pPr>
              <w:pStyle w:val="TableParagraph"/>
              <w:spacing w:before="89"/>
              <w:ind w:left="195" w:right="188"/>
              <w:rPr>
                <w:sz w:val="18"/>
              </w:rPr>
            </w:pPr>
            <w:r>
              <w:rPr>
                <w:w w:val="105"/>
                <w:sz w:val="18"/>
              </w:rPr>
              <w:t>Small</w:t>
            </w:r>
          </w:p>
        </w:tc>
        <w:tc>
          <w:tcPr>
            <w:tcW w:w="1417" w:type="dxa"/>
            <w:tcBorders>
              <w:left w:val="single" w:sz="2" w:space="0" w:color="1C75BC"/>
              <w:bottom w:val="single" w:sz="2" w:space="0" w:color="1C75BC"/>
              <w:right w:val="single" w:sz="2" w:space="0" w:color="1C75BC"/>
            </w:tcBorders>
            <w:shd w:val="clear" w:color="auto" w:fill="B9C9E7"/>
          </w:tcPr>
          <w:p>
            <w:pPr>
              <w:pStyle w:val="TableParagraph"/>
              <w:spacing w:before="89"/>
              <w:ind w:left="524" w:right="519"/>
              <w:rPr>
                <w:sz w:val="18"/>
              </w:rPr>
            </w:pPr>
            <w:r>
              <w:rPr>
                <w:w w:val="105"/>
                <w:sz w:val="18"/>
              </w:rPr>
              <w:t>18%</w:t>
            </w:r>
          </w:p>
        </w:tc>
        <w:tc>
          <w:tcPr>
            <w:tcW w:w="1077" w:type="dxa"/>
            <w:tcBorders>
              <w:left w:val="single" w:sz="2" w:space="0" w:color="1C75BC"/>
              <w:bottom w:val="single" w:sz="2" w:space="0" w:color="1C75BC"/>
              <w:right w:val="single" w:sz="2" w:space="0" w:color="1C75BC"/>
            </w:tcBorders>
            <w:shd w:val="clear" w:color="auto" w:fill="B9C9E7"/>
          </w:tcPr>
          <w:p>
            <w:pPr>
              <w:pStyle w:val="TableParagraph"/>
              <w:spacing w:before="89"/>
              <w:ind w:right="373"/>
              <w:jc w:val="right"/>
              <w:rPr>
                <w:sz w:val="18"/>
              </w:rPr>
            </w:pPr>
            <w:r>
              <w:rPr>
                <w:w w:val="105"/>
                <w:sz w:val="18"/>
              </w:rPr>
              <w:t>13%</w:t>
            </w:r>
          </w:p>
        </w:tc>
        <w:tc>
          <w:tcPr>
            <w:tcW w:w="1077" w:type="dxa"/>
            <w:tcBorders>
              <w:left w:val="single" w:sz="2" w:space="0" w:color="1C75BC"/>
              <w:bottom w:val="single" w:sz="2" w:space="0" w:color="1C75BC"/>
              <w:right w:val="single" w:sz="2" w:space="0" w:color="1C75BC"/>
            </w:tcBorders>
            <w:shd w:val="clear" w:color="auto" w:fill="B9C9E7"/>
          </w:tcPr>
          <w:p>
            <w:pPr>
              <w:pStyle w:val="TableParagraph"/>
              <w:spacing w:before="89"/>
              <w:ind w:left="310" w:right="304"/>
              <w:rPr>
                <w:sz w:val="18"/>
              </w:rPr>
            </w:pPr>
            <w:r>
              <w:rPr>
                <w:w w:val="105"/>
                <w:sz w:val="18"/>
              </w:rPr>
              <w:t>12%</w:t>
            </w:r>
          </w:p>
        </w:tc>
        <w:tc>
          <w:tcPr>
            <w:tcW w:w="1077" w:type="dxa"/>
            <w:tcBorders>
              <w:left w:val="single" w:sz="2" w:space="0" w:color="1C75BC"/>
              <w:bottom w:val="single" w:sz="2" w:space="0" w:color="1C75BC"/>
              <w:right w:val="single" w:sz="2" w:space="0" w:color="1C75BC"/>
            </w:tcBorders>
            <w:shd w:val="clear" w:color="auto" w:fill="B9C9E7"/>
          </w:tcPr>
          <w:p>
            <w:pPr>
              <w:pStyle w:val="TableParagraph"/>
              <w:spacing w:before="89"/>
              <w:ind w:left="377"/>
              <w:jc w:val="left"/>
              <w:rPr>
                <w:sz w:val="18"/>
              </w:rPr>
            </w:pPr>
            <w:r>
              <w:rPr>
                <w:w w:val="105"/>
                <w:sz w:val="18"/>
              </w:rPr>
              <w:t>43%</w:t>
            </w:r>
          </w:p>
        </w:tc>
      </w:tr>
      <w:tr>
        <w:trPr>
          <w:trHeight w:val="386" w:hRule="atLeast"/>
        </w:trPr>
        <w:tc>
          <w:tcPr>
            <w:tcW w:w="1361" w:type="dxa"/>
            <w:tcBorders>
              <w:top w:val="nil"/>
              <w:left w:val="nil"/>
              <w:bottom w:val="nil"/>
            </w:tcBorders>
            <w:shd w:val="clear" w:color="auto" w:fill="1C75BC"/>
          </w:tcPr>
          <w:p>
            <w:pPr>
              <w:pStyle w:val="TableParagraph"/>
              <w:spacing w:before="89"/>
              <w:ind w:left="99" w:right="89"/>
              <w:rPr>
                <w:sz w:val="18"/>
              </w:rPr>
            </w:pPr>
            <w:r>
              <w:rPr>
                <w:color w:val="FFFFFF"/>
                <w:sz w:val="18"/>
              </w:rPr>
              <w:t>Eaves Gutter</w:t>
            </w:r>
          </w:p>
        </w:tc>
        <w:tc>
          <w:tcPr>
            <w:tcW w:w="1474" w:type="dxa"/>
            <w:tcBorders>
              <w:right w:val="nil"/>
            </w:tcBorders>
            <w:shd w:val="clear" w:color="auto" w:fill="1C75BC"/>
          </w:tcPr>
          <w:p>
            <w:pPr>
              <w:pStyle w:val="TableParagraph"/>
              <w:spacing w:before="89"/>
              <w:ind w:left="77" w:right="77"/>
              <w:rPr>
                <w:sz w:val="18"/>
              </w:rPr>
            </w:pPr>
            <w:r>
              <w:rPr>
                <w:color w:val="FFFFFF"/>
                <w:sz w:val="18"/>
              </w:rPr>
              <w:t>Free disposal</w:t>
            </w:r>
          </w:p>
        </w:tc>
        <w:tc>
          <w:tcPr>
            <w:tcW w:w="1077" w:type="dxa"/>
            <w:tcBorders>
              <w:top w:val="single" w:sz="2" w:space="0" w:color="1C75BC"/>
              <w:left w:val="nil"/>
              <w:bottom w:val="single" w:sz="2" w:space="0" w:color="1C75BC"/>
              <w:right w:val="single" w:sz="2" w:space="0" w:color="1C75BC"/>
            </w:tcBorders>
            <w:shd w:val="clear" w:color="auto" w:fill="E5E9F6"/>
          </w:tcPr>
          <w:p>
            <w:pPr>
              <w:pStyle w:val="TableParagraph"/>
              <w:spacing w:before="89"/>
              <w:ind w:left="195" w:right="188"/>
              <w:rPr>
                <w:sz w:val="18"/>
              </w:rPr>
            </w:pPr>
            <w:r>
              <w:rPr>
                <w:w w:val="105"/>
                <w:sz w:val="18"/>
              </w:rPr>
              <w:t>Small</w:t>
            </w:r>
          </w:p>
        </w:tc>
        <w:tc>
          <w:tcPr>
            <w:tcW w:w="141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spacing w:before="89"/>
              <w:ind w:left="524" w:right="519"/>
              <w:rPr>
                <w:sz w:val="18"/>
              </w:rPr>
            </w:pPr>
            <w:r>
              <w:rPr>
                <w:w w:val="105"/>
                <w:sz w:val="18"/>
              </w:rPr>
              <w:t>15%</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spacing w:before="89"/>
              <w:ind w:right="373"/>
              <w:jc w:val="right"/>
              <w:rPr>
                <w:sz w:val="18"/>
              </w:rPr>
            </w:pPr>
            <w:r>
              <w:rPr>
                <w:w w:val="105"/>
                <w:sz w:val="18"/>
              </w:rPr>
              <w:t>13%</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spacing w:before="89"/>
              <w:ind w:left="310" w:right="304"/>
              <w:rPr>
                <w:sz w:val="18"/>
              </w:rPr>
            </w:pPr>
            <w:r>
              <w:rPr>
                <w:w w:val="105"/>
                <w:sz w:val="18"/>
              </w:rPr>
              <w:t>14%</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spacing w:before="89"/>
              <w:ind w:left="377"/>
              <w:jc w:val="left"/>
              <w:rPr>
                <w:sz w:val="18"/>
              </w:rPr>
            </w:pPr>
            <w:r>
              <w:rPr>
                <w:w w:val="105"/>
                <w:sz w:val="18"/>
              </w:rPr>
              <w:t>42%</w:t>
            </w:r>
          </w:p>
        </w:tc>
      </w:tr>
      <w:tr>
        <w:trPr>
          <w:trHeight w:val="386" w:hRule="atLeast"/>
        </w:trPr>
        <w:tc>
          <w:tcPr>
            <w:tcW w:w="1361" w:type="dxa"/>
            <w:tcBorders>
              <w:top w:val="single" w:sz="2" w:space="0" w:color="1C75BC"/>
              <w:left w:val="single" w:sz="2" w:space="0" w:color="1C75BC"/>
              <w:bottom w:val="single" w:sz="2" w:space="0" w:color="1C75BC"/>
              <w:right w:val="nil"/>
            </w:tcBorders>
          </w:tcPr>
          <w:p>
            <w:pPr>
              <w:pStyle w:val="TableParagraph"/>
              <w:spacing w:before="89"/>
              <w:ind w:left="96" w:right="94"/>
              <w:rPr>
                <w:sz w:val="18"/>
              </w:rPr>
            </w:pPr>
            <w:r>
              <w:rPr>
                <w:w w:val="105"/>
                <w:sz w:val="18"/>
              </w:rPr>
              <w:t>Kitchen</w:t>
            </w:r>
          </w:p>
        </w:tc>
        <w:tc>
          <w:tcPr>
            <w:tcW w:w="1474" w:type="dxa"/>
            <w:tcBorders>
              <w:left w:val="nil"/>
              <w:right w:val="nil"/>
            </w:tcBorders>
            <w:shd w:val="clear" w:color="auto" w:fill="1C75BC"/>
          </w:tcPr>
          <w:p>
            <w:pPr>
              <w:pStyle w:val="TableParagraph"/>
              <w:spacing w:before="89"/>
              <w:ind w:left="239" w:right="235"/>
              <w:rPr>
                <w:sz w:val="18"/>
              </w:rPr>
            </w:pPr>
            <w:r>
              <w:rPr>
                <w:color w:val="FFFFFF"/>
                <w:sz w:val="18"/>
              </w:rPr>
              <w:t>Free disposal</w:t>
            </w:r>
          </w:p>
        </w:tc>
        <w:tc>
          <w:tcPr>
            <w:tcW w:w="1077" w:type="dxa"/>
            <w:tcBorders>
              <w:top w:val="single" w:sz="2" w:space="0" w:color="1C75BC"/>
              <w:left w:val="nil"/>
              <w:bottom w:val="single" w:sz="2" w:space="0" w:color="1C75BC"/>
              <w:right w:val="single" w:sz="2" w:space="0" w:color="1C75BC"/>
            </w:tcBorders>
            <w:shd w:val="clear" w:color="auto" w:fill="E5E9F6"/>
          </w:tcPr>
          <w:p>
            <w:pPr>
              <w:pStyle w:val="TableParagraph"/>
              <w:spacing w:before="89"/>
              <w:ind w:left="195" w:right="188"/>
              <w:rPr>
                <w:sz w:val="18"/>
              </w:rPr>
            </w:pPr>
            <w:r>
              <w:rPr>
                <w:w w:val="105"/>
                <w:sz w:val="18"/>
              </w:rPr>
              <w:t>Small</w:t>
            </w:r>
          </w:p>
        </w:tc>
        <w:tc>
          <w:tcPr>
            <w:tcW w:w="141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spacing w:before="89"/>
              <w:ind w:left="524" w:right="519"/>
              <w:rPr>
                <w:sz w:val="18"/>
              </w:rPr>
            </w:pPr>
            <w:r>
              <w:rPr>
                <w:w w:val="105"/>
                <w:sz w:val="18"/>
              </w:rPr>
              <w:t>17%</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spacing w:before="89"/>
              <w:ind w:right="373"/>
              <w:jc w:val="right"/>
              <w:rPr>
                <w:sz w:val="18"/>
              </w:rPr>
            </w:pPr>
            <w:r>
              <w:rPr>
                <w:w w:val="105"/>
                <w:sz w:val="18"/>
              </w:rPr>
              <w:t>13%</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spacing w:before="89"/>
              <w:ind w:left="310" w:right="304"/>
              <w:rPr>
                <w:sz w:val="18"/>
              </w:rPr>
            </w:pPr>
            <w:r>
              <w:rPr>
                <w:w w:val="105"/>
                <w:sz w:val="18"/>
              </w:rPr>
              <w:t>11%</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spacing w:before="89"/>
              <w:ind w:left="384"/>
              <w:jc w:val="left"/>
              <w:rPr>
                <w:sz w:val="18"/>
              </w:rPr>
            </w:pPr>
            <w:r>
              <w:rPr>
                <w:w w:val="105"/>
                <w:sz w:val="18"/>
              </w:rPr>
              <w:t>41%</w:t>
            </w:r>
          </w:p>
        </w:tc>
      </w:tr>
      <w:tr>
        <w:trPr>
          <w:trHeight w:val="420" w:hRule="atLeast"/>
        </w:trPr>
        <w:tc>
          <w:tcPr>
            <w:tcW w:w="1361"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spacing w:before="105"/>
              <w:ind w:left="97" w:right="92"/>
              <w:rPr>
                <w:sz w:val="18"/>
              </w:rPr>
            </w:pPr>
            <w:r>
              <w:rPr>
                <w:sz w:val="18"/>
              </w:rPr>
              <w:t>Bathroom</w:t>
            </w:r>
          </w:p>
        </w:tc>
        <w:tc>
          <w:tcPr>
            <w:tcW w:w="1474" w:type="dxa"/>
            <w:tcBorders>
              <w:left w:val="single" w:sz="2" w:space="0" w:color="1C75BC"/>
              <w:bottom w:val="single" w:sz="2" w:space="0" w:color="1C75BC"/>
              <w:right w:val="single" w:sz="2" w:space="0" w:color="1C75BC"/>
            </w:tcBorders>
            <w:shd w:val="clear" w:color="auto" w:fill="91ACDA"/>
          </w:tcPr>
          <w:p>
            <w:pPr>
              <w:pStyle w:val="TableParagraph"/>
              <w:spacing w:line="180" w:lineRule="exact" w:before="42"/>
              <w:ind w:left="305" w:right="243" w:hanging="44"/>
              <w:jc w:val="left"/>
              <w:rPr>
                <w:sz w:val="18"/>
              </w:rPr>
            </w:pPr>
            <w:r>
              <w:rPr>
                <w:w w:val="105"/>
                <w:sz w:val="18"/>
              </w:rPr>
              <w:t>50% subsidy on removal</w:t>
            </w:r>
          </w:p>
        </w:tc>
        <w:tc>
          <w:tcPr>
            <w:tcW w:w="1077" w:type="dxa"/>
            <w:tcBorders>
              <w:top w:val="single" w:sz="2" w:space="0" w:color="1C75BC"/>
              <w:left w:val="single" w:sz="2" w:space="0" w:color="1C75BC"/>
              <w:bottom w:val="single" w:sz="2" w:space="0" w:color="1C75BC"/>
              <w:right w:val="single" w:sz="2" w:space="0" w:color="1C75BC"/>
            </w:tcBorders>
            <w:shd w:val="clear" w:color="auto" w:fill="E5E9F6"/>
          </w:tcPr>
          <w:p>
            <w:pPr>
              <w:pStyle w:val="TableParagraph"/>
              <w:spacing w:before="105"/>
              <w:ind w:left="310" w:right="305"/>
              <w:rPr>
                <w:sz w:val="18"/>
              </w:rPr>
            </w:pPr>
            <w:r>
              <w:rPr>
                <w:w w:val="105"/>
                <w:sz w:val="18"/>
              </w:rPr>
              <w:t>Small</w:t>
            </w:r>
          </w:p>
        </w:tc>
        <w:tc>
          <w:tcPr>
            <w:tcW w:w="141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spacing w:before="105"/>
              <w:ind w:left="524" w:right="519"/>
              <w:rPr>
                <w:sz w:val="18"/>
              </w:rPr>
            </w:pPr>
            <w:r>
              <w:rPr>
                <w:w w:val="105"/>
                <w:sz w:val="18"/>
              </w:rPr>
              <w:t>15%</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spacing w:before="105"/>
              <w:ind w:right="373"/>
              <w:jc w:val="right"/>
              <w:rPr>
                <w:sz w:val="18"/>
              </w:rPr>
            </w:pPr>
            <w:r>
              <w:rPr>
                <w:w w:val="105"/>
                <w:sz w:val="18"/>
              </w:rPr>
              <w:t>13%</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spacing w:before="105"/>
              <w:ind w:left="310" w:right="304"/>
              <w:rPr>
                <w:sz w:val="18"/>
              </w:rPr>
            </w:pPr>
            <w:r>
              <w:rPr>
                <w:w w:val="105"/>
                <w:sz w:val="18"/>
              </w:rPr>
              <w:t>13%</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spacing w:before="105"/>
              <w:ind w:left="384"/>
              <w:jc w:val="left"/>
              <w:rPr>
                <w:sz w:val="18"/>
              </w:rPr>
            </w:pPr>
            <w:r>
              <w:rPr>
                <w:w w:val="105"/>
                <w:sz w:val="18"/>
              </w:rPr>
              <w:t>41%</w:t>
            </w:r>
          </w:p>
        </w:tc>
      </w:tr>
      <w:tr>
        <w:trPr>
          <w:trHeight w:val="391" w:hRule="atLeast"/>
        </w:trPr>
        <w:tc>
          <w:tcPr>
            <w:tcW w:w="1361"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ind w:left="97" w:right="92"/>
              <w:rPr>
                <w:sz w:val="18"/>
              </w:rPr>
            </w:pPr>
            <w:r>
              <w:rPr>
                <w:sz w:val="18"/>
              </w:rPr>
              <w:t>Bathroom</w:t>
            </w:r>
          </w:p>
        </w:tc>
        <w:tc>
          <w:tcPr>
            <w:tcW w:w="1474" w:type="dxa"/>
            <w:tcBorders>
              <w:top w:val="single" w:sz="2" w:space="0" w:color="1C75BC"/>
              <w:left w:val="single" w:sz="2" w:space="0" w:color="1C75BC"/>
              <w:bottom w:val="single" w:sz="2" w:space="0" w:color="1C75BC"/>
              <w:right w:val="single" w:sz="2" w:space="0" w:color="1C75BC"/>
            </w:tcBorders>
            <w:shd w:val="clear" w:color="auto" w:fill="E5E9F6"/>
          </w:tcPr>
          <w:p>
            <w:pPr>
              <w:pStyle w:val="TableParagraph"/>
              <w:ind w:left="81" w:right="77"/>
              <w:rPr>
                <w:sz w:val="18"/>
              </w:rPr>
            </w:pPr>
            <w:r>
              <w:rPr>
                <w:w w:val="105"/>
                <w:sz w:val="18"/>
              </w:rPr>
              <w:t>Tax concession</w:t>
            </w:r>
          </w:p>
        </w:tc>
        <w:tc>
          <w:tcPr>
            <w:tcW w:w="1077" w:type="dxa"/>
            <w:tcBorders>
              <w:top w:val="single" w:sz="2" w:space="0" w:color="1C75BC"/>
              <w:left w:val="single" w:sz="2" w:space="0" w:color="1C75BC"/>
              <w:bottom w:val="single" w:sz="2" w:space="0" w:color="1C75BC"/>
              <w:right w:val="single" w:sz="2" w:space="0" w:color="1C75BC"/>
            </w:tcBorders>
            <w:shd w:val="clear" w:color="auto" w:fill="E5E9F6"/>
          </w:tcPr>
          <w:p>
            <w:pPr>
              <w:pStyle w:val="TableParagraph"/>
              <w:ind w:left="310" w:right="305"/>
              <w:rPr>
                <w:sz w:val="18"/>
              </w:rPr>
            </w:pPr>
            <w:r>
              <w:rPr>
                <w:w w:val="105"/>
                <w:sz w:val="18"/>
              </w:rPr>
              <w:t>Small</w:t>
            </w:r>
          </w:p>
        </w:tc>
        <w:tc>
          <w:tcPr>
            <w:tcW w:w="141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ind w:left="524" w:right="519"/>
              <w:rPr>
                <w:sz w:val="18"/>
              </w:rPr>
            </w:pPr>
            <w:r>
              <w:rPr>
                <w:w w:val="105"/>
                <w:sz w:val="18"/>
              </w:rPr>
              <w:t>15%</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ind w:right="373"/>
              <w:jc w:val="right"/>
              <w:rPr>
                <w:sz w:val="18"/>
              </w:rPr>
            </w:pPr>
            <w:r>
              <w:rPr>
                <w:w w:val="105"/>
                <w:sz w:val="18"/>
              </w:rPr>
              <w:t>13%</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ind w:left="310" w:right="304"/>
              <w:rPr>
                <w:sz w:val="18"/>
              </w:rPr>
            </w:pPr>
            <w:r>
              <w:rPr>
                <w:w w:val="105"/>
                <w:sz w:val="18"/>
              </w:rPr>
              <w:t>12%</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ind w:left="372"/>
              <w:jc w:val="left"/>
              <w:rPr>
                <w:sz w:val="18"/>
              </w:rPr>
            </w:pPr>
            <w:r>
              <w:rPr>
                <w:w w:val="105"/>
                <w:sz w:val="18"/>
              </w:rPr>
              <w:t>40%</w:t>
            </w:r>
          </w:p>
        </w:tc>
      </w:tr>
      <w:tr>
        <w:trPr>
          <w:trHeight w:val="391" w:hRule="atLeast"/>
        </w:trPr>
        <w:tc>
          <w:tcPr>
            <w:tcW w:w="1361" w:type="dxa"/>
            <w:tcBorders>
              <w:top w:val="single" w:sz="2" w:space="0" w:color="1C75BC"/>
              <w:left w:val="single" w:sz="2" w:space="0" w:color="1C75BC"/>
              <w:bottom w:val="single" w:sz="2" w:space="0" w:color="1C75BC"/>
              <w:right w:val="single" w:sz="2" w:space="0" w:color="1C75BC"/>
            </w:tcBorders>
          </w:tcPr>
          <w:p>
            <w:pPr>
              <w:pStyle w:val="TableParagraph"/>
              <w:ind w:left="97" w:right="92"/>
              <w:rPr>
                <w:sz w:val="18"/>
              </w:rPr>
            </w:pPr>
            <w:r>
              <w:rPr>
                <w:w w:val="105"/>
                <w:sz w:val="18"/>
              </w:rPr>
              <w:t>Kitchen</w:t>
            </w:r>
          </w:p>
        </w:tc>
        <w:tc>
          <w:tcPr>
            <w:tcW w:w="1474" w:type="dxa"/>
            <w:tcBorders>
              <w:top w:val="single" w:sz="2" w:space="0" w:color="1C75BC"/>
              <w:left w:val="single" w:sz="2" w:space="0" w:color="1C75BC"/>
              <w:bottom w:val="nil"/>
              <w:right w:val="single" w:sz="2" w:space="0" w:color="1C75BC"/>
            </w:tcBorders>
            <w:shd w:val="clear" w:color="auto" w:fill="E5E9F6"/>
          </w:tcPr>
          <w:p>
            <w:pPr>
              <w:pStyle w:val="TableParagraph"/>
              <w:ind w:left="82" w:right="77"/>
              <w:rPr>
                <w:sz w:val="18"/>
              </w:rPr>
            </w:pPr>
            <w:r>
              <w:rPr>
                <w:w w:val="105"/>
                <w:sz w:val="18"/>
              </w:rPr>
              <w:t>Tax concession</w:t>
            </w:r>
          </w:p>
        </w:tc>
        <w:tc>
          <w:tcPr>
            <w:tcW w:w="1077" w:type="dxa"/>
            <w:tcBorders>
              <w:top w:val="single" w:sz="2" w:space="0" w:color="1C75BC"/>
              <w:left w:val="single" w:sz="2" w:space="0" w:color="1C75BC"/>
              <w:bottom w:val="single" w:sz="2" w:space="0" w:color="1C75BC"/>
              <w:right w:val="single" w:sz="2" w:space="0" w:color="1C75BC"/>
            </w:tcBorders>
            <w:shd w:val="clear" w:color="auto" w:fill="E5E9F6"/>
          </w:tcPr>
          <w:p>
            <w:pPr>
              <w:pStyle w:val="TableParagraph"/>
              <w:ind w:left="310" w:right="305"/>
              <w:rPr>
                <w:sz w:val="18"/>
              </w:rPr>
            </w:pPr>
            <w:r>
              <w:rPr>
                <w:w w:val="105"/>
                <w:sz w:val="18"/>
              </w:rPr>
              <w:t>Small</w:t>
            </w:r>
          </w:p>
        </w:tc>
        <w:tc>
          <w:tcPr>
            <w:tcW w:w="141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ind w:left="525" w:right="519"/>
              <w:rPr>
                <w:sz w:val="18"/>
              </w:rPr>
            </w:pPr>
            <w:r>
              <w:rPr>
                <w:w w:val="105"/>
                <w:sz w:val="18"/>
              </w:rPr>
              <w:t>14%</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ind w:right="372"/>
              <w:jc w:val="right"/>
              <w:rPr>
                <w:sz w:val="18"/>
              </w:rPr>
            </w:pPr>
            <w:r>
              <w:rPr>
                <w:w w:val="105"/>
                <w:sz w:val="18"/>
              </w:rPr>
              <w:t>13%</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ind w:left="310" w:right="304"/>
              <w:rPr>
                <w:sz w:val="18"/>
              </w:rPr>
            </w:pPr>
            <w:r>
              <w:rPr>
                <w:w w:val="105"/>
                <w:sz w:val="18"/>
              </w:rPr>
              <w:t>12%</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ind w:left="375"/>
              <w:jc w:val="left"/>
              <w:rPr>
                <w:sz w:val="18"/>
              </w:rPr>
            </w:pPr>
            <w:r>
              <w:rPr>
                <w:w w:val="105"/>
                <w:sz w:val="18"/>
              </w:rPr>
              <w:t>39%</w:t>
            </w:r>
          </w:p>
        </w:tc>
      </w:tr>
      <w:tr>
        <w:trPr>
          <w:trHeight w:val="391" w:hRule="atLeast"/>
        </w:trPr>
        <w:tc>
          <w:tcPr>
            <w:tcW w:w="1361" w:type="dxa"/>
            <w:tcBorders>
              <w:top w:val="single" w:sz="2" w:space="0" w:color="1C75BC"/>
              <w:left w:val="single" w:sz="2" w:space="0" w:color="1C75BC"/>
              <w:bottom w:val="single" w:sz="2" w:space="0" w:color="1C75BC"/>
              <w:right w:val="nil"/>
            </w:tcBorders>
            <w:shd w:val="clear" w:color="auto" w:fill="E5E9F6"/>
          </w:tcPr>
          <w:p>
            <w:pPr>
              <w:pStyle w:val="TableParagraph"/>
              <w:ind w:left="99" w:right="94"/>
              <w:rPr>
                <w:sz w:val="18"/>
              </w:rPr>
            </w:pPr>
            <w:r>
              <w:rPr>
                <w:w w:val="105"/>
                <w:sz w:val="18"/>
              </w:rPr>
              <w:t>Fence outdoor</w:t>
            </w:r>
          </w:p>
        </w:tc>
        <w:tc>
          <w:tcPr>
            <w:tcW w:w="1474" w:type="dxa"/>
            <w:tcBorders>
              <w:top w:val="nil"/>
              <w:left w:val="nil"/>
              <w:bottom w:val="nil"/>
              <w:right w:val="nil"/>
            </w:tcBorders>
            <w:shd w:val="clear" w:color="auto" w:fill="1C75BC"/>
          </w:tcPr>
          <w:p>
            <w:pPr>
              <w:pStyle w:val="TableParagraph"/>
              <w:ind w:left="239" w:right="234"/>
              <w:rPr>
                <w:sz w:val="18"/>
              </w:rPr>
            </w:pPr>
            <w:r>
              <w:rPr>
                <w:color w:val="FFFFFF"/>
                <w:sz w:val="18"/>
              </w:rPr>
              <w:t>Free disposal</w:t>
            </w:r>
          </w:p>
        </w:tc>
        <w:tc>
          <w:tcPr>
            <w:tcW w:w="1077" w:type="dxa"/>
            <w:tcBorders>
              <w:top w:val="single" w:sz="2" w:space="0" w:color="1C75BC"/>
              <w:left w:val="nil"/>
              <w:bottom w:val="single" w:sz="2" w:space="0" w:color="1C75BC"/>
              <w:right w:val="single" w:sz="2" w:space="0" w:color="1C75BC"/>
            </w:tcBorders>
            <w:shd w:val="clear" w:color="auto" w:fill="E5E9F6"/>
          </w:tcPr>
          <w:p>
            <w:pPr>
              <w:pStyle w:val="TableParagraph"/>
              <w:ind w:left="195" w:right="188"/>
              <w:rPr>
                <w:sz w:val="18"/>
              </w:rPr>
            </w:pPr>
            <w:r>
              <w:rPr>
                <w:w w:val="105"/>
                <w:sz w:val="18"/>
              </w:rPr>
              <w:t>Small</w:t>
            </w:r>
          </w:p>
        </w:tc>
        <w:tc>
          <w:tcPr>
            <w:tcW w:w="141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ind w:left="525" w:right="519"/>
              <w:rPr>
                <w:sz w:val="18"/>
              </w:rPr>
            </w:pPr>
            <w:r>
              <w:rPr>
                <w:w w:val="105"/>
                <w:sz w:val="18"/>
              </w:rPr>
              <w:t>14%</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ind w:right="372"/>
              <w:jc w:val="right"/>
              <w:rPr>
                <w:sz w:val="18"/>
              </w:rPr>
            </w:pPr>
            <w:r>
              <w:rPr>
                <w:w w:val="105"/>
                <w:sz w:val="18"/>
              </w:rPr>
              <w:t>13%</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ind w:left="310" w:right="304"/>
              <w:rPr>
                <w:sz w:val="18"/>
              </w:rPr>
            </w:pPr>
            <w:r>
              <w:rPr>
                <w:w w:val="105"/>
                <w:sz w:val="18"/>
              </w:rPr>
              <w:t>12%</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ind w:left="375"/>
              <w:jc w:val="left"/>
              <w:rPr>
                <w:sz w:val="18"/>
              </w:rPr>
            </w:pPr>
            <w:r>
              <w:rPr>
                <w:w w:val="105"/>
                <w:sz w:val="18"/>
              </w:rPr>
              <w:t>39%</w:t>
            </w:r>
          </w:p>
        </w:tc>
      </w:tr>
      <w:tr>
        <w:trPr>
          <w:trHeight w:val="423" w:hRule="atLeast"/>
        </w:trPr>
        <w:tc>
          <w:tcPr>
            <w:tcW w:w="1361" w:type="dxa"/>
            <w:tcBorders>
              <w:top w:val="single" w:sz="2" w:space="0" w:color="1C75BC"/>
              <w:left w:val="single" w:sz="2" w:space="0" w:color="1C75BC"/>
              <w:bottom w:val="single" w:sz="2" w:space="0" w:color="1C75BC"/>
              <w:right w:val="single" w:sz="2" w:space="0" w:color="1C75BC"/>
            </w:tcBorders>
          </w:tcPr>
          <w:p>
            <w:pPr>
              <w:pStyle w:val="TableParagraph"/>
              <w:spacing w:before="107"/>
              <w:ind w:left="97" w:right="92"/>
              <w:rPr>
                <w:sz w:val="18"/>
              </w:rPr>
            </w:pPr>
            <w:r>
              <w:rPr>
                <w:w w:val="105"/>
                <w:sz w:val="18"/>
              </w:rPr>
              <w:t>Kitchen</w:t>
            </w:r>
          </w:p>
        </w:tc>
        <w:tc>
          <w:tcPr>
            <w:tcW w:w="1474" w:type="dxa"/>
            <w:tcBorders>
              <w:top w:val="nil"/>
              <w:left w:val="single" w:sz="2" w:space="0" w:color="1C75BC"/>
              <w:bottom w:val="single" w:sz="2" w:space="0" w:color="1C75BC"/>
              <w:right w:val="single" w:sz="2" w:space="0" w:color="1C75BC"/>
            </w:tcBorders>
            <w:shd w:val="clear" w:color="auto" w:fill="91ACDA"/>
          </w:tcPr>
          <w:p>
            <w:pPr>
              <w:pStyle w:val="TableParagraph"/>
              <w:spacing w:line="180" w:lineRule="exact" w:before="45"/>
              <w:ind w:left="305" w:right="243" w:hanging="44"/>
              <w:jc w:val="left"/>
              <w:rPr>
                <w:sz w:val="18"/>
              </w:rPr>
            </w:pPr>
            <w:r>
              <w:rPr>
                <w:w w:val="105"/>
                <w:sz w:val="18"/>
              </w:rPr>
              <w:t>50% subsidy on removal</w:t>
            </w:r>
          </w:p>
        </w:tc>
        <w:tc>
          <w:tcPr>
            <w:tcW w:w="1077" w:type="dxa"/>
            <w:tcBorders>
              <w:top w:val="single" w:sz="2" w:space="0" w:color="1C75BC"/>
              <w:left w:val="single" w:sz="2" w:space="0" w:color="1C75BC"/>
              <w:bottom w:val="single" w:sz="2" w:space="0" w:color="1C75BC"/>
              <w:right w:val="single" w:sz="2" w:space="0" w:color="1C75BC"/>
            </w:tcBorders>
            <w:shd w:val="clear" w:color="auto" w:fill="E5E9F6"/>
          </w:tcPr>
          <w:p>
            <w:pPr>
              <w:pStyle w:val="TableParagraph"/>
              <w:spacing w:before="107"/>
              <w:ind w:left="310" w:right="305"/>
              <w:rPr>
                <w:sz w:val="18"/>
              </w:rPr>
            </w:pPr>
            <w:r>
              <w:rPr>
                <w:w w:val="105"/>
                <w:sz w:val="18"/>
              </w:rPr>
              <w:t>Small</w:t>
            </w:r>
          </w:p>
        </w:tc>
        <w:tc>
          <w:tcPr>
            <w:tcW w:w="141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spacing w:before="107"/>
              <w:ind w:left="525" w:right="519"/>
              <w:rPr>
                <w:sz w:val="18"/>
              </w:rPr>
            </w:pPr>
            <w:r>
              <w:rPr>
                <w:w w:val="105"/>
                <w:sz w:val="18"/>
              </w:rPr>
              <w:t>13%</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spacing w:before="107"/>
              <w:ind w:right="372"/>
              <w:jc w:val="right"/>
              <w:rPr>
                <w:sz w:val="18"/>
              </w:rPr>
            </w:pPr>
            <w:r>
              <w:rPr>
                <w:w w:val="105"/>
                <w:sz w:val="18"/>
              </w:rPr>
              <w:t>13%</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spacing w:before="107"/>
              <w:ind w:left="310" w:right="304"/>
              <w:rPr>
                <w:sz w:val="18"/>
              </w:rPr>
            </w:pPr>
            <w:r>
              <w:rPr>
                <w:w w:val="105"/>
                <w:sz w:val="18"/>
              </w:rPr>
              <w:t>12%</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spacing w:before="107"/>
              <w:ind w:left="375"/>
              <w:jc w:val="left"/>
              <w:rPr>
                <w:sz w:val="18"/>
              </w:rPr>
            </w:pPr>
            <w:r>
              <w:rPr>
                <w:w w:val="105"/>
                <w:sz w:val="18"/>
              </w:rPr>
              <w:t>38%</w:t>
            </w:r>
          </w:p>
        </w:tc>
      </w:tr>
      <w:tr>
        <w:trPr>
          <w:trHeight w:val="391" w:hRule="atLeast"/>
        </w:trPr>
        <w:tc>
          <w:tcPr>
            <w:tcW w:w="1361" w:type="dxa"/>
            <w:tcBorders>
              <w:top w:val="single" w:sz="2" w:space="0" w:color="1C75BC"/>
              <w:left w:val="single" w:sz="2" w:space="0" w:color="1C75BC"/>
              <w:bottom w:val="single" w:sz="2" w:space="0" w:color="1C75BC"/>
              <w:right w:val="single" w:sz="2" w:space="0" w:color="1C75BC"/>
            </w:tcBorders>
          </w:tcPr>
          <w:p>
            <w:pPr>
              <w:pStyle w:val="TableParagraph"/>
              <w:ind w:left="97" w:right="92"/>
              <w:rPr>
                <w:sz w:val="18"/>
              </w:rPr>
            </w:pPr>
            <w:r>
              <w:rPr>
                <w:w w:val="105"/>
                <w:sz w:val="18"/>
              </w:rPr>
              <w:t>Kitchen</w:t>
            </w:r>
          </w:p>
        </w:tc>
        <w:tc>
          <w:tcPr>
            <w:tcW w:w="1474"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ind w:left="83" w:right="77"/>
              <w:rPr>
                <w:sz w:val="18"/>
              </w:rPr>
            </w:pPr>
            <w:r>
              <w:rPr>
                <w:sz w:val="18"/>
              </w:rPr>
              <w:t>Interest free loan</w:t>
            </w:r>
          </w:p>
        </w:tc>
        <w:tc>
          <w:tcPr>
            <w:tcW w:w="1077" w:type="dxa"/>
            <w:tcBorders>
              <w:top w:val="single" w:sz="2" w:space="0" w:color="1C75BC"/>
              <w:left w:val="single" w:sz="2" w:space="0" w:color="1C75BC"/>
              <w:bottom w:val="single" w:sz="2" w:space="0" w:color="1C75BC"/>
              <w:right w:val="single" w:sz="2" w:space="0" w:color="1C75BC"/>
            </w:tcBorders>
            <w:shd w:val="clear" w:color="auto" w:fill="E5E9F6"/>
          </w:tcPr>
          <w:p>
            <w:pPr>
              <w:pStyle w:val="TableParagraph"/>
              <w:ind w:left="310" w:right="305"/>
              <w:rPr>
                <w:sz w:val="18"/>
              </w:rPr>
            </w:pPr>
            <w:r>
              <w:rPr>
                <w:w w:val="105"/>
                <w:sz w:val="18"/>
              </w:rPr>
              <w:t>Small</w:t>
            </w:r>
          </w:p>
        </w:tc>
        <w:tc>
          <w:tcPr>
            <w:tcW w:w="141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ind w:left="525" w:right="519"/>
              <w:rPr>
                <w:sz w:val="18"/>
              </w:rPr>
            </w:pPr>
            <w:r>
              <w:rPr>
                <w:w w:val="105"/>
                <w:sz w:val="18"/>
              </w:rPr>
              <w:t>13%</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ind w:right="372"/>
              <w:jc w:val="right"/>
              <w:rPr>
                <w:sz w:val="18"/>
              </w:rPr>
            </w:pPr>
            <w:r>
              <w:rPr>
                <w:w w:val="105"/>
                <w:sz w:val="18"/>
              </w:rPr>
              <w:t>13%</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ind w:left="310" w:right="304"/>
              <w:rPr>
                <w:sz w:val="18"/>
              </w:rPr>
            </w:pPr>
            <w:r>
              <w:rPr>
                <w:w w:val="105"/>
                <w:sz w:val="18"/>
              </w:rPr>
              <w:t>12%</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ind w:left="375"/>
              <w:jc w:val="left"/>
              <w:rPr>
                <w:sz w:val="18"/>
              </w:rPr>
            </w:pPr>
            <w:r>
              <w:rPr>
                <w:w w:val="105"/>
                <w:sz w:val="18"/>
              </w:rPr>
              <w:t>38%</w:t>
            </w:r>
          </w:p>
        </w:tc>
      </w:tr>
      <w:tr>
        <w:trPr>
          <w:trHeight w:val="391" w:hRule="atLeast"/>
        </w:trPr>
        <w:tc>
          <w:tcPr>
            <w:tcW w:w="1361" w:type="dxa"/>
            <w:tcBorders>
              <w:top w:val="single" w:sz="2" w:space="0" w:color="1C75BC"/>
              <w:left w:val="single" w:sz="2" w:space="0" w:color="1C75BC"/>
              <w:bottom w:val="nil"/>
              <w:right w:val="single" w:sz="2" w:space="0" w:color="1C75BC"/>
            </w:tcBorders>
            <w:shd w:val="clear" w:color="auto" w:fill="B9C9E7"/>
          </w:tcPr>
          <w:p>
            <w:pPr>
              <w:pStyle w:val="TableParagraph"/>
              <w:ind w:left="97" w:right="92"/>
              <w:rPr>
                <w:sz w:val="18"/>
              </w:rPr>
            </w:pPr>
            <w:r>
              <w:rPr>
                <w:sz w:val="18"/>
              </w:rPr>
              <w:t>Bathroom</w:t>
            </w:r>
          </w:p>
        </w:tc>
        <w:tc>
          <w:tcPr>
            <w:tcW w:w="1474"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ind w:left="83" w:right="77"/>
              <w:rPr>
                <w:sz w:val="18"/>
              </w:rPr>
            </w:pPr>
            <w:r>
              <w:rPr>
                <w:sz w:val="18"/>
              </w:rPr>
              <w:t>Interest free loan</w:t>
            </w:r>
          </w:p>
        </w:tc>
        <w:tc>
          <w:tcPr>
            <w:tcW w:w="1077" w:type="dxa"/>
            <w:tcBorders>
              <w:top w:val="single" w:sz="2" w:space="0" w:color="1C75BC"/>
              <w:left w:val="single" w:sz="2" w:space="0" w:color="1C75BC"/>
              <w:bottom w:val="single" w:sz="2" w:space="0" w:color="1C75BC"/>
              <w:right w:val="single" w:sz="2" w:space="0" w:color="1C75BC"/>
            </w:tcBorders>
            <w:shd w:val="clear" w:color="auto" w:fill="E5E9F6"/>
          </w:tcPr>
          <w:p>
            <w:pPr>
              <w:pStyle w:val="TableParagraph"/>
              <w:ind w:left="310" w:right="305"/>
              <w:rPr>
                <w:sz w:val="18"/>
              </w:rPr>
            </w:pPr>
            <w:r>
              <w:rPr>
                <w:w w:val="105"/>
                <w:sz w:val="18"/>
              </w:rPr>
              <w:t>Small</w:t>
            </w:r>
          </w:p>
        </w:tc>
        <w:tc>
          <w:tcPr>
            <w:tcW w:w="141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ind w:left="525" w:right="519"/>
              <w:rPr>
                <w:sz w:val="18"/>
              </w:rPr>
            </w:pPr>
            <w:r>
              <w:rPr>
                <w:w w:val="105"/>
                <w:sz w:val="18"/>
              </w:rPr>
              <w:t>14%</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ind w:right="372"/>
              <w:jc w:val="right"/>
              <w:rPr>
                <w:sz w:val="18"/>
              </w:rPr>
            </w:pPr>
            <w:r>
              <w:rPr>
                <w:w w:val="105"/>
                <w:sz w:val="18"/>
              </w:rPr>
              <w:t>12%</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ind w:left="310" w:right="304"/>
              <w:rPr>
                <w:sz w:val="18"/>
              </w:rPr>
            </w:pPr>
            <w:r>
              <w:rPr>
                <w:w w:val="105"/>
                <w:sz w:val="18"/>
              </w:rPr>
              <w:t>12%</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ind w:left="375"/>
              <w:jc w:val="left"/>
              <w:rPr>
                <w:sz w:val="18"/>
              </w:rPr>
            </w:pPr>
            <w:r>
              <w:rPr>
                <w:w w:val="105"/>
                <w:sz w:val="18"/>
              </w:rPr>
              <w:t>38%</w:t>
            </w:r>
          </w:p>
        </w:tc>
      </w:tr>
      <w:tr>
        <w:trPr>
          <w:trHeight w:val="420" w:hRule="atLeast"/>
        </w:trPr>
        <w:tc>
          <w:tcPr>
            <w:tcW w:w="1361" w:type="dxa"/>
            <w:tcBorders>
              <w:top w:val="nil"/>
              <w:left w:val="nil"/>
              <w:right w:val="nil"/>
            </w:tcBorders>
            <w:shd w:val="clear" w:color="auto" w:fill="1C75BC"/>
          </w:tcPr>
          <w:p>
            <w:pPr>
              <w:pStyle w:val="TableParagraph"/>
              <w:spacing w:before="107"/>
              <w:ind w:left="193" w:right="188"/>
              <w:rPr>
                <w:sz w:val="18"/>
              </w:rPr>
            </w:pPr>
            <w:r>
              <w:rPr>
                <w:color w:val="FFFFFF"/>
                <w:sz w:val="18"/>
              </w:rPr>
              <w:t>Eaves Gutter</w:t>
            </w:r>
          </w:p>
        </w:tc>
        <w:tc>
          <w:tcPr>
            <w:tcW w:w="1474" w:type="dxa"/>
            <w:tcBorders>
              <w:top w:val="single" w:sz="2" w:space="0" w:color="1C75BC"/>
              <w:left w:val="nil"/>
              <w:bottom w:val="single" w:sz="2" w:space="0" w:color="1C75BC"/>
              <w:right w:val="single" w:sz="2" w:space="0" w:color="1C75BC"/>
            </w:tcBorders>
            <w:shd w:val="clear" w:color="auto" w:fill="B9C9E7"/>
          </w:tcPr>
          <w:p>
            <w:pPr>
              <w:pStyle w:val="TableParagraph"/>
              <w:spacing w:line="180" w:lineRule="exact" w:before="45"/>
              <w:ind w:left="428" w:right="122" w:hanging="285"/>
              <w:jc w:val="left"/>
              <w:rPr>
                <w:sz w:val="18"/>
              </w:rPr>
            </w:pPr>
            <w:r>
              <w:rPr>
                <w:w w:val="105"/>
                <w:sz w:val="18"/>
              </w:rPr>
              <w:t>50% subsidy on removal</w:t>
            </w:r>
          </w:p>
        </w:tc>
        <w:tc>
          <w:tcPr>
            <w:tcW w:w="1077" w:type="dxa"/>
            <w:tcBorders>
              <w:top w:val="single" w:sz="2" w:space="0" w:color="1C75BC"/>
              <w:left w:val="single" w:sz="2" w:space="0" w:color="1C75BC"/>
              <w:bottom w:val="single" w:sz="2" w:space="0" w:color="1C75BC"/>
              <w:right w:val="single" w:sz="2" w:space="0" w:color="1C75BC"/>
            </w:tcBorders>
            <w:shd w:val="clear" w:color="auto" w:fill="E5E9F6"/>
          </w:tcPr>
          <w:p>
            <w:pPr>
              <w:pStyle w:val="TableParagraph"/>
              <w:spacing w:before="107"/>
              <w:ind w:left="310" w:right="305"/>
              <w:rPr>
                <w:sz w:val="18"/>
              </w:rPr>
            </w:pPr>
            <w:r>
              <w:rPr>
                <w:w w:val="105"/>
                <w:sz w:val="18"/>
              </w:rPr>
              <w:t>Small</w:t>
            </w:r>
          </w:p>
        </w:tc>
        <w:tc>
          <w:tcPr>
            <w:tcW w:w="141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spacing w:before="107"/>
              <w:ind w:left="524" w:right="519"/>
              <w:rPr>
                <w:sz w:val="18"/>
              </w:rPr>
            </w:pPr>
            <w:r>
              <w:rPr>
                <w:w w:val="105"/>
                <w:sz w:val="18"/>
              </w:rPr>
              <w:t>12%</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spacing w:before="107"/>
              <w:ind w:right="373"/>
              <w:jc w:val="right"/>
              <w:rPr>
                <w:sz w:val="18"/>
              </w:rPr>
            </w:pPr>
            <w:r>
              <w:rPr>
                <w:w w:val="105"/>
                <w:sz w:val="18"/>
              </w:rPr>
              <w:t>13%</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spacing w:before="107"/>
              <w:ind w:left="310" w:right="304"/>
              <w:rPr>
                <w:sz w:val="18"/>
              </w:rPr>
            </w:pPr>
            <w:r>
              <w:rPr>
                <w:w w:val="105"/>
                <w:sz w:val="18"/>
              </w:rPr>
              <w:t>13%</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spacing w:before="107"/>
              <w:ind w:left="374"/>
              <w:jc w:val="left"/>
              <w:rPr>
                <w:sz w:val="18"/>
              </w:rPr>
            </w:pPr>
            <w:r>
              <w:rPr>
                <w:w w:val="105"/>
                <w:sz w:val="18"/>
              </w:rPr>
              <w:t>38%</w:t>
            </w:r>
          </w:p>
        </w:tc>
      </w:tr>
      <w:tr>
        <w:trPr>
          <w:trHeight w:val="386" w:hRule="atLeast"/>
        </w:trPr>
        <w:tc>
          <w:tcPr>
            <w:tcW w:w="1361" w:type="dxa"/>
            <w:tcBorders>
              <w:left w:val="nil"/>
              <w:right w:val="nil"/>
            </w:tcBorders>
            <w:shd w:val="clear" w:color="auto" w:fill="1C75BC"/>
          </w:tcPr>
          <w:p>
            <w:pPr>
              <w:pStyle w:val="TableParagraph"/>
              <w:spacing w:before="89"/>
              <w:ind w:left="193" w:right="188"/>
              <w:rPr>
                <w:sz w:val="18"/>
              </w:rPr>
            </w:pPr>
            <w:r>
              <w:rPr>
                <w:color w:val="FFFFFF"/>
                <w:sz w:val="18"/>
              </w:rPr>
              <w:t>Eaves Gutter</w:t>
            </w:r>
          </w:p>
        </w:tc>
        <w:tc>
          <w:tcPr>
            <w:tcW w:w="1474" w:type="dxa"/>
            <w:tcBorders>
              <w:top w:val="single" w:sz="2" w:space="0" w:color="1C75BC"/>
              <w:left w:val="nil"/>
              <w:bottom w:val="single" w:sz="2" w:space="0" w:color="1C75BC"/>
              <w:right w:val="single" w:sz="2" w:space="0" w:color="1C75BC"/>
            </w:tcBorders>
            <w:shd w:val="clear" w:color="auto" w:fill="E5E9F6"/>
          </w:tcPr>
          <w:p>
            <w:pPr>
              <w:pStyle w:val="TableParagraph"/>
              <w:spacing w:before="89"/>
              <w:ind w:left="84" w:right="77"/>
              <w:rPr>
                <w:sz w:val="18"/>
              </w:rPr>
            </w:pPr>
            <w:r>
              <w:rPr>
                <w:w w:val="105"/>
                <w:sz w:val="18"/>
              </w:rPr>
              <w:t>Tax concession</w:t>
            </w:r>
          </w:p>
        </w:tc>
        <w:tc>
          <w:tcPr>
            <w:tcW w:w="1077" w:type="dxa"/>
            <w:tcBorders>
              <w:top w:val="single" w:sz="2" w:space="0" w:color="1C75BC"/>
              <w:left w:val="single" w:sz="2" w:space="0" w:color="1C75BC"/>
              <w:bottom w:val="single" w:sz="2" w:space="0" w:color="1C75BC"/>
              <w:right w:val="single" w:sz="2" w:space="0" w:color="1C75BC"/>
            </w:tcBorders>
            <w:shd w:val="clear" w:color="auto" w:fill="E5E9F6"/>
          </w:tcPr>
          <w:p>
            <w:pPr>
              <w:pStyle w:val="TableParagraph"/>
              <w:spacing w:before="89"/>
              <w:ind w:left="310" w:right="305"/>
              <w:rPr>
                <w:sz w:val="18"/>
              </w:rPr>
            </w:pPr>
            <w:r>
              <w:rPr>
                <w:w w:val="105"/>
                <w:sz w:val="18"/>
              </w:rPr>
              <w:t>Small</w:t>
            </w:r>
          </w:p>
        </w:tc>
        <w:tc>
          <w:tcPr>
            <w:tcW w:w="141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spacing w:before="89"/>
              <w:ind w:left="525" w:right="519"/>
              <w:rPr>
                <w:sz w:val="18"/>
              </w:rPr>
            </w:pPr>
            <w:r>
              <w:rPr>
                <w:w w:val="105"/>
                <w:sz w:val="18"/>
              </w:rPr>
              <w:t>13%</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spacing w:before="89"/>
              <w:ind w:right="372"/>
              <w:jc w:val="right"/>
              <w:rPr>
                <w:sz w:val="18"/>
              </w:rPr>
            </w:pPr>
            <w:r>
              <w:rPr>
                <w:w w:val="105"/>
                <w:sz w:val="18"/>
              </w:rPr>
              <w:t>12%</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spacing w:before="89"/>
              <w:ind w:left="310" w:right="303"/>
              <w:rPr>
                <w:sz w:val="18"/>
              </w:rPr>
            </w:pPr>
            <w:r>
              <w:rPr>
                <w:w w:val="105"/>
                <w:sz w:val="18"/>
              </w:rPr>
              <w:t>13%</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spacing w:before="89"/>
              <w:ind w:left="375"/>
              <w:jc w:val="left"/>
              <w:rPr>
                <w:sz w:val="18"/>
              </w:rPr>
            </w:pPr>
            <w:r>
              <w:rPr>
                <w:w w:val="105"/>
                <w:sz w:val="18"/>
              </w:rPr>
              <w:t>38%</w:t>
            </w:r>
          </w:p>
        </w:tc>
      </w:tr>
      <w:tr>
        <w:trPr>
          <w:trHeight w:val="386" w:hRule="atLeast"/>
        </w:trPr>
        <w:tc>
          <w:tcPr>
            <w:tcW w:w="1361" w:type="dxa"/>
            <w:tcBorders>
              <w:left w:val="nil"/>
              <w:right w:val="nil"/>
            </w:tcBorders>
            <w:shd w:val="clear" w:color="auto" w:fill="1C75BC"/>
          </w:tcPr>
          <w:p>
            <w:pPr>
              <w:pStyle w:val="TableParagraph"/>
              <w:spacing w:before="89"/>
              <w:ind w:left="194" w:right="188"/>
              <w:rPr>
                <w:sz w:val="18"/>
              </w:rPr>
            </w:pPr>
            <w:r>
              <w:rPr>
                <w:color w:val="FFFFFF"/>
                <w:sz w:val="18"/>
              </w:rPr>
              <w:t>Eaves Gutter</w:t>
            </w:r>
          </w:p>
        </w:tc>
        <w:tc>
          <w:tcPr>
            <w:tcW w:w="1474" w:type="dxa"/>
            <w:tcBorders>
              <w:top w:val="single" w:sz="2" w:space="0" w:color="1C75BC"/>
              <w:left w:val="nil"/>
              <w:bottom w:val="single" w:sz="2" w:space="0" w:color="1C75BC"/>
              <w:right w:val="single" w:sz="2" w:space="0" w:color="1C75BC"/>
            </w:tcBorders>
            <w:shd w:val="clear" w:color="auto" w:fill="B9C9E7"/>
          </w:tcPr>
          <w:p>
            <w:pPr>
              <w:pStyle w:val="TableParagraph"/>
              <w:spacing w:before="89"/>
              <w:ind w:left="86" w:right="77"/>
              <w:rPr>
                <w:sz w:val="18"/>
              </w:rPr>
            </w:pPr>
            <w:r>
              <w:rPr>
                <w:sz w:val="18"/>
              </w:rPr>
              <w:t>Interest free loan</w:t>
            </w:r>
          </w:p>
        </w:tc>
        <w:tc>
          <w:tcPr>
            <w:tcW w:w="1077" w:type="dxa"/>
            <w:tcBorders>
              <w:top w:val="single" w:sz="2" w:space="0" w:color="1C75BC"/>
              <w:left w:val="single" w:sz="2" w:space="0" w:color="1C75BC"/>
              <w:bottom w:val="single" w:sz="2" w:space="0" w:color="1C75BC"/>
              <w:right w:val="single" w:sz="2" w:space="0" w:color="1C75BC"/>
            </w:tcBorders>
            <w:shd w:val="clear" w:color="auto" w:fill="E5E9F6"/>
          </w:tcPr>
          <w:p>
            <w:pPr>
              <w:pStyle w:val="TableParagraph"/>
              <w:spacing w:before="89"/>
              <w:ind w:left="310" w:right="304"/>
              <w:rPr>
                <w:sz w:val="18"/>
              </w:rPr>
            </w:pPr>
            <w:r>
              <w:rPr>
                <w:w w:val="105"/>
                <w:sz w:val="18"/>
              </w:rPr>
              <w:t>Small</w:t>
            </w:r>
          </w:p>
        </w:tc>
        <w:tc>
          <w:tcPr>
            <w:tcW w:w="141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spacing w:before="89"/>
              <w:ind w:left="525" w:right="519"/>
              <w:rPr>
                <w:sz w:val="18"/>
              </w:rPr>
            </w:pPr>
            <w:r>
              <w:rPr>
                <w:w w:val="105"/>
                <w:sz w:val="18"/>
              </w:rPr>
              <w:t>11%</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spacing w:before="89"/>
              <w:ind w:right="372"/>
              <w:jc w:val="right"/>
              <w:rPr>
                <w:sz w:val="18"/>
              </w:rPr>
            </w:pPr>
            <w:r>
              <w:rPr>
                <w:w w:val="105"/>
                <w:sz w:val="18"/>
              </w:rPr>
              <w:t>13%</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spacing w:before="89"/>
              <w:ind w:left="310" w:right="303"/>
              <w:rPr>
                <w:sz w:val="18"/>
              </w:rPr>
            </w:pPr>
            <w:r>
              <w:rPr>
                <w:w w:val="105"/>
                <w:sz w:val="18"/>
              </w:rPr>
              <w:t>13%</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spacing w:before="89"/>
              <w:ind w:left="377"/>
              <w:jc w:val="left"/>
              <w:rPr>
                <w:sz w:val="18"/>
              </w:rPr>
            </w:pPr>
            <w:r>
              <w:rPr>
                <w:w w:val="105"/>
                <w:sz w:val="18"/>
              </w:rPr>
              <w:t>37%</w:t>
            </w:r>
          </w:p>
        </w:tc>
      </w:tr>
      <w:tr>
        <w:trPr>
          <w:trHeight w:val="389" w:hRule="atLeast"/>
        </w:trPr>
        <w:tc>
          <w:tcPr>
            <w:tcW w:w="1361" w:type="dxa"/>
            <w:tcBorders>
              <w:left w:val="single" w:sz="2" w:space="0" w:color="1C75BC"/>
              <w:bottom w:val="single" w:sz="2" w:space="0" w:color="1C75BC"/>
              <w:right w:val="single" w:sz="2" w:space="0" w:color="1C75BC"/>
            </w:tcBorders>
            <w:shd w:val="clear" w:color="auto" w:fill="E5E9F6"/>
          </w:tcPr>
          <w:p>
            <w:pPr>
              <w:pStyle w:val="TableParagraph"/>
              <w:spacing w:before="89"/>
              <w:ind w:left="99" w:right="92"/>
              <w:rPr>
                <w:sz w:val="18"/>
              </w:rPr>
            </w:pPr>
            <w:r>
              <w:rPr>
                <w:w w:val="105"/>
                <w:sz w:val="18"/>
              </w:rPr>
              <w:t>Fence outdoor</w:t>
            </w:r>
          </w:p>
        </w:tc>
        <w:tc>
          <w:tcPr>
            <w:tcW w:w="1474" w:type="dxa"/>
            <w:tcBorders>
              <w:top w:val="single" w:sz="2" w:space="0" w:color="1C75BC"/>
              <w:left w:val="single" w:sz="2" w:space="0" w:color="1C75BC"/>
              <w:bottom w:val="single" w:sz="2" w:space="0" w:color="1C75BC"/>
              <w:right w:val="single" w:sz="2" w:space="0" w:color="1C75BC"/>
            </w:tcBorders>
            <w:shd w:val="clear" w:color="auto" w:fill="E5E9F6"/>
          </w:tcPr>
          <w:p>
            <w:pPr>
              <w:pStyle w:val="TableParagraph"/>
              <w:spacing w:before="89"/>
              <w:ind w:left="82" w:right="77"/>
              <w:rPr>
                <w:sz w:val="18"/>
              </w:rPr>
            </w:pPr>
            <w:r>
              <w:rPr>
                <w:w w:val="105"/>
                <w:sz w:val="18"/>
              </w:rPr>
              <w:t>Tax concession</w:t>
            </w:r>
          </w:p>
        </w:tc>
        <w:tc>
          <w:tcPr>
            <w:tcW w:w="1077" w:type="dxa"/>
            <w:tcBorders>
              <w:top w:val="single" w:sz="2" w:space="0" w:color="1C75BC"/>
              <w:left w:val="single" w:sz="2" w:space="0" w:color="1C75BC"/>
              <w:bottom w:val="single" w:sz="2" w:space="0" w:color="1C75BC"/>
              <w:right w:val="single" w:sz="2" w:space="0" w:color="1C75BC"/>
            </w:tcBorders>
            <w:shd w:val="clear" w:color="auto" w:fill="E5E9F6"/>
          </w:tcPr>
          <w:p>
            <w:pPr>
              <w:pStyle w:val="TableParagraph"/>
              <w:spacing w:before="89"/>
              <w:ind w:left="310" w:right="305"/>
              <w:rPr>
                <w:sz w:val="18"/>
              </w:rPr>
            </w:pPr>
            <w:r>
              <w:rPr>
                <w:w w:val="105"/>
                <w:sz w:val="18"/>
              </w:rPr>
              <w:t>Small</w:t>
            </w:r>
          </w:p>
        </w:tc>
        <w:tc>
          <w:tcPr>
            <w:tcW w:w="141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spacing w:before="89"/>
              <w:ind w:left="525" w:right="519"/>
              <w:rPr>
                <w:sz w:val="18"/>
              </w:rPr>
            </w:pPr>
            <w:r>
              <w:rPr>
                <w:w w:val="105"/>
                <w:sz w:val="18"/>
              </w:rPr>
              <w:t>12%</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spacing w:before="89"/>
              <w:ind w:right="372"/>
              <w:jc w:val="right"/>
              <w:rPr>
                <w:sz w:val="18"/>
              </w:rPr>
            </w:pPr>
            <w:r>
              <w:rPr>
                <w:w w:val="105"/>
                <w:sz w:val="18"/>
              </w:rPr>
              <w:t>12%</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spacing w:before="89"/>
              <w:ind w:left="310" w:right="303"/>
              <w:rPr>
                <w:sz w:val="18"/>
              </w:rPr>
            </w:pPr>
            <w:r>
              <w:rPr>
                <w:w w:val="105"/>
                <w:sz w:val="18"/>
              </w:rPr>
              <w:t>13%</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spacing w:before="89"/>
              <w:ind w:left="377"/>
              <w:jc w:val="left"/>
              <w:rPr>
                <w:sz w:val="18"/>
              </w:rPr>
            </w:pPr>
            <w:r>
              <w:rPr>
                <w:w w:val="105"/>
                <w:sz w:val="18"/>
              </w:rPr>
              <w:t>37%</w:t>
            </w:r>
          </w:p>
        </w:tc>
      </w:tr>
      <w:tr>
        <w:trPr>
          <w:trHeight w:val="423" w:hRule="atLeast"/>
        </w:trPr>
        <w:tc>
          <w:tcPr>
            <w:tcW w:w="1361" w:type="dxa"/>
            <w:tcBorders>
              <w:top w:val="single" w:sz="2" w:space="0" w:color="1C75BC"/>
              <w:left w:val="single" w:sz="2" w:space="0" w:color="1C75BC"/>
              <w:bottom w:val="single" w:sz="2" w:space="0" w:color="1C75BC"/>
              <w:right w:val="single" w:sz="2" w:space="0" w:color="1C75BC"/>
            </w:tcBorders>
            <w:shd w:val="clear" w:color="auto" w:fill="E5E9F6"/>
          </w:tcPr>
          <w:p>
            <w:pPr>
              <w:pStyle w:val="TableParagraph"/>
              <w:spacing w:before="107"/>
              <w:ind w:left="99" w:right="92"/>
              <w:rPr>
                <w:sz w:val="18"/>
              </w:rPr>
            </w:pPr>
            <w:r>
              <w:rPr>
                <w:w w:val="105"/>
                <w:sz w:val="18"/>
              </w:rPr>
              <w:t>Fence outdoor</w:t>
            </w:r>
          </w:p>
        </w:tc>
        <w:tc>
          <w:tcPr>
            <w:tcW w:w="1474" w:type="dxa"/>
            <w:tcBorders>
              <w:top w:val="single" w:sz="2" w:space="0" w:color="1C75BC"/>
              <w:left w:val="single" w:sz="2" w:space="0" w:color="1C75BC"/>
              <w:bottom w:val="single" w:sz="2" w:space="0" w:color="1C75BC"/>
              <w:right w:val="single" w:sz="2" w:space="0" w:color="1C75BC"/>
            </w:tcBorders>
            <w:shd w:val="clear" w:color="auto" w:fill="91ACDA"/>
          </w:tcPr>
          <w:p>
            <w:pPr>
              <w:pStyle w:val="TableParagraph"/>
              <w:spacing w:line="180" w:lineRule="exact" w:before="45"/>
              <w:ind w:left="305" w:right="243" w:hanging="44"/>
              <w:jc w:val="left"/>
              <w:rPr>
                <w:sz w:val="18"/>
              </w:rPr>
            </w:pPr>
            <w:r>
              <w:rPr>
                <w:w w:val="105"/>
                <w:sz w:val="18"/>
              </w:rPr>
              <w:t>50% subsidy on removal</w:t>
            </w:r>
          </w:p>
        </w:tc>
        <w:tc>
          <w:tcPr>
            <w:tcW w:w="1077" w:type="dxa"/>
            <w:tcBorders>
              <w:top w:val="single" w:sz="2" w:space="0" w:color="1C75BC"/>
              <w:left w:val="single" w:sz="2" w:space="0" w:color="1C75BC"/>
              <w:bottom w:val="single" w:sz="2" w:space="0" w:color="1C75BC"/>
              <w:right w:val="single" w:sz="2" w:space="0" w:color="1C75BC"/>
            </w:tcBorders>
            <w:shd w:val="clear" w:color="auto" w:fill="E5E9F6"/>
          </w:tcPr>
          <w:p>
            <w:pPr>
              <w:pStyle w:val="TableParagraph"/>
              <w:spacing w:before="107"/>
              <w:ind w:left="310" w:right="305"/>
              <w:rPr>
                <w:sz w:val="18"/>
              </w:rPr>
            </w:pPr>
            <w:r>
              <w:rPr>
                <w:w w:val="105"/>
                <w:sz w:val="18"/>
              </w:rPr>
              <w:t>Small</w:t>
            </w:r>
          </w:p>
        </w:tc>
        <w:tc>
          <w:tcPr>
            <w:tcW w:w="141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spacing w:before="107"/>
              <w:ind w:left="524" w:right="519"/>
              <w:rPr>
                <w:sz w:val="18"/>
              </w:rPr>
            </w:pPr>
            <w:r>
              <w:rPr>
                <w:w w:val="105"/>
                <w:sz w:val="18"/>
              </w:rPr>
              <w:t>11%</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spacing w:before="107"/>
              <w:ind w:right="373"/>
              <w:jc w:val="right"/>
              <w:rPr>
                <w:sz w:val="18"/>
              </w:rPr>
            </w:pPr>
            <w:r>
              <w:rPr>
                <w:w w:val="105"/>
                <w:sz w:val="18"/>
              </w:rPr>
              <w:t>13%</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spacing w:before="107"/>
              <w:ind w:left="310" w:right="304"/>
              <w:rPr>
                <w:sz w:val="18"/>
              </w:rPr>
            </w:pPr>
            <w:r>
              <w:rPr>
                <w:w w:val="105"/>
                <w:sz w:val="18"/>
              </w:rPr>
              <w:t>12%</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spacing w:before="107"/>
              <w:ind w:left="375"/>
              <w:jc w:val="left"/>
              <w:rPr>
                <w:sz w:val="18"/>
              </w:rPr>
            </w:pPr>
            <w:r>
              <w:rPr>
                <w:w w:val="105"/>
                <w:sz w:val="18"/>
              </w:rPr>
              <w:t>36%</w:t>
            </w:r>
          </w:p>
        </w:tc>
      </w:tr>
      <w:tr>
        <w:trPr>
          <w:trHeight w:val="391" w:hRule="atLeast"/>
        </w:trPr>
        <w:tc>
          <w:tcPr>
            <w:tcW w:w="1361" w:type="dxa"/>
            <w:tcBorders>
              <w:top w:val="single" w:sz="2" w:space="0" w:color="1C75BC"/>
              <w:left w:val="single" w:sz="2" w:space="0" w:color="1C75BC"/>
              <w:bottom w:val="single" w:sz="2" w:space="0" w:color="1C75BC"/>
              <w:right w:val="single" w:sz="2" w:space="0" w:color="1C75BC"/>
            </w:tcBorders>
            <w:shd w:val="clear" w:color="auto" w:fill="E5E9F6"/>
          </w:tcPr>
          <w:p>
            <w:pPr>
              <w:pStyle w:val="TableParagraph"/>
              <w:ind w:left="99" w:right="92"/>
              <w:rPr>
                <w:sz w:val="18"/>
              </w:rPr>
            </w:pPr>
            <w:r>
              <w:rPr>
                <w:w w:val="105"/>
                <w:sz w:val="18"/>
              </w:rPr>
              <w:t>Fence outdoor</w:t>
            </w:r>
          </w:p>
        </w:tc>
        <w:tc>
          <w:tcPr>
            <w:tcW w:w="1474"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ind w:left="83" w:right="77"/>
              <w:rPr>
                <w:sz w:val="18"/>
              </w:rPr>
            </w:pPr>
            <w:r>
              <w:rPr>
                <w:sz w:val="18"/>
              </w:rPr>
              <w:t>Interest free loan</w:t>
            </w:r>
          </w:p>
        </w:tc>
        <w:tc>
          <w:tcPr>
            <w:tcW w:w="1077" w:type="dxa"/>
            <w:tcBorders>
              <w:top w:val="single" w:sz="2" w:space="0" w:color="1C75BC"/>
              <w:left w:val="single" w:sz="2" w:space="0" w:color="1C75BC"/>
              <w:bottom w:val="single" w:sz="2" w:space="0" w:color="1C75BC"/>
              <w:right w:val="single" w:sz="2" w:space="0" w:color="1C75BC"/>
            </w:tcBorders>
            <w:shd w:val="clear" w:color="auto" w:fill="E5E9F6"/>
          </w:tcPr>
          <w:p>
            <w:pPr>
              <w:pStyle w:val="TableParagraph"/>
              <w:ind w:left="310" w:right="305"/>
              <w:rPr>
                <w:sz w:val="18"/>
              </w:rPr>
            </w:pPr>
            <w:r>
              <w:rPr>
                <w:w w:val="105"/>
                <w:sz w:val="18"/>
              </w:rPr>
              <w:t>Small</w:t>
            </w:r>
          </w:p>
        </w:tc>
        <w:tc>
          <w:tcPr>
            <w:tcW w:w="141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ind w:left="524" w:right="519"/>
              <w:rPr>
                <w:sz w:val="18"/>
              </w:rPr>
            </w:pPr>
            <w:r>
              <w:rPr>
                <w:w w:val="105"/>
                <w:sz w:val="18"/>
              </w:rPr>
              <w:t>11%</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ind w:right="372"/>
              <w:jc w:val="right"/>
              <w:rPr>
                <w:sz w:val="18"/>
              </w:rPr>
            </w:pPr>
            <w:r>
              <w:rPr>
                <w:w w:val="105"/>
                <w:sz w:val="18"/>
              </w:rPr>
              <w:t>12%</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ind w:left="310" w:right="304"/>
              <w:rPr>
                <w:sz w:val="18"/>
              </w:rPr>
            </w:pPr>
            <w:r>
              <w:rPr>
                <w:w w:val="105"/>
                <w:sz w:val="18"/>
              </w:rPr>
              <w:t>12%</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ind w:left="378"/>
              <w:jc w:val="left"/>
              <w:rPr>
                <w:sz w:val="18"/>
              </w:rPr>
            </w:pPr>
            <w:r>
              <w:rPr>
                <w:w w:val="105"/>
                <w:sz w:val="18"/>
              </w:rPr>
              <w:t>35%</w:t>
            </w:r>
          </w:p>
        </w:tc>
      </w:tr>
      <w:tr>
        <w:trPr>
          <w:trHeight w:val="391" w:hRule="atLeast"/>
        </w:trPr>
        <w:tc>
          <w:tcPr>
            <w:tcW w:w="1361"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ind w:left="97" w:right="92"/>
              <w:rPr>
                <w:sz w:val="18"/>
              </w:rPr>
            </w:pPr>
            <w:r>
              <w:rPr>
                <w:sz w:val="18"/>
              </w:rPr>
              <w:t>Bathroom</w:t>
            </w:r>
          </w:p>
        </w:tc>
        <w:tc>
          <w:tcPr>
            <w:tcW w:w="1474" w:type="dxa"/>
            <w:tcBorders>
              <w:top w:val="single" w:sz="2" w:space="0" w:color="1C75BC"/>
              <w:left w:val="single" w:sz="2" w:space="0" w:color="1C75BC"/>
              <w:bottom w:val="nil"/>
              <w:right w:val="single" w:sz="2" w:space="0" w:color="1C75BC"/>
            </w:tcBorders>
          </w:tcPr>
          <w:p>
            <w:pPr>
              <w:pStyle w:val="TableParagraph"/>
              <w:ind w:left="81" w:right="77"/>
              <w:rPr>
                <w:sz w:val="18"/>
              </w:rPr>
            </w:pPr>
            <w:r>
              <w:rPr>
                <w:w w:val="105"/>
                <w:sz w:val="18"/>
              </w:rPr>
              <w:t>No initiative</w:t>
            </w:r>
          </w:p>
        </w:tc>
        <w:tc>
          <w:tcPr>
            <w:tcW w:w="1077" w:type="dxa"/>
            <w:tcBorders>
              <w:top w:val="single" w:sz="2" w:space="0" w:color="1C75BC"/>
              <w:left w:val="single" w:sz="2" w:space="0" w:color="1C75BC"/>
              <w:bottom w:val="single" w:sz="2" w:space="0" w:color="1C75BC"/>
              <w:right w:val="single" w:sz="2" w:space="0" w:color="1C75BC"/>
            </w:tcBorders>
            <w:shd w:val="clear" w:color="auto" w:fill="E5E9F6"/>
          </w:tcPr>
          <w:p>
            <w:pPr>
              <w:pStyle w:val="TableParagraph"/>
              <w:ind w:left="310" w:right="305"/>
              <w:rPr>
                <w:sz w:val="18"/>
              </w:rPr>
            </w:pPr>
            <w:r>
              <w:rPr>
                <w:w w:val="105"/>
                <w:sz w:val="18"/>
              </w:rPr>
              <w:t>Small</w:t>
            </w:r>
          </w:p>
        </w:tc>
        <w:tc>
          <w:tcPr>
            <w:tcW w:w="141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ind w:left="525" w:right="518"/>
              <w:rPr>
                <w:sz w:val="18"/>
              </w:rPr>
            </w:pPr>
            <w:r>
              <w:rPr>
                <w:w w:val="105"/>
                <w:sz w:val="18"/>
              </w:rPr>
              <w:t>8%</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ind w:right="372"/>
              <w:jc w:val="right"/>
              <w:rPr>
                <w:sz w:val="18"/>
              </w:rPr>
            </w:pPr>
            <w:r>
              <w:rPr>
                <w:w w:val="105"/>
                <w:sz w:val="18"/>
              </w:rPr>
              <w:t>12%</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ind w:left="310" w:right="304"/>
              <w:rPr>
                <w:sz w:val="18"/>
              </w:rPr>
            </w:pPr>
            <w:r>
              <w:rPr>
                <w:w w:val="105"/>
                <w:sz w:val="18"/>
              </w:rPr>
              <w:t>14%</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ind w:left="375"/>
              <w:jc w:val="left"/>
              <w:rPr>
                <w:sz w:val="18"/>
              </w:rPr>
            </w:pPr>
            <w:r>
              <w:rPr>
                <w:w w:val="105"/>
                <w:sz w:val="18"/>
              </w:rPr>
              <w:t>34%</w:t>
            </w:r>
          </w:p>
        </w:tc>
      </w:tr>
      <w:tr>
        <w:trPr>
          <w:trHeight w:val="391" w:hRule="atLeast"/>
        </w:trPr>
        <w:tc>
          <w:tcPr>
            <w:tcW w:w="1361" w:type="dxa"/>
            <w:tcBorders>
              <w:top w:val="single" w:sz="2" w:space="0" w:color="1C75BC"/>
              <w:left w:val="single" w:sz="2" w:space="0" w:color="1C75BC"/>
              <w:bottom w:val="single" w:sz="2" w:space="0" w:color="1C75BC"/>
              <w:right w:val="nil"/>
            </w:tcBorders>
          </w:tcPr>
          <w:p>
            <w:pPr>
              <w:pStyle w:val="TableParagraph"/>
              <w:ind w:left="96" w:right="94"/>
              <w:rPr>
                <w:sz w:val="18"/>
              </w:rPr>
            </w:pPr>
            <w:r>
              <w:rPr>
                <w:w w:val="105"/>
                <w:sz w:val="18"/>
              </w:rPr>
              <w:t>Kitchen</w:t>
            </w:r>
          </w:p>
        </w:tc>
        <w:tc>
          <w:tcPr>
            <w:tcW w:w="1474" w:type="dxa"/>
            <w:tcBorders>
              <w:top w:val="nil"/>
              <w:left w:val="nil"/>
              <w:bottom w:val="nil"/>
              <w:right w:val="nil"/>
            </w:tcBorders>
            <w:shd w:val="clear" w:color="auto" w:fill="1C75BC"/>
          </w:tcPr>
          <w:p>
            <w:pPr>
              <w:pStyle w:val="TableParagraph"/>
              <w:ind w:left="239" w:right="235"/>
              <w:rPr>
                <w:sz w:val="18"/>
              </w:rPr>
            </w:pPr>
            <w:r>
              <w:rPr>
                <w:color w:val="FFFFFF"/>
                <w:sz w:val="18"/>
              </w:rPr>
              <w:t>Free disposal</w:t>
            </w:r>
          </w:p>
        </w:tc>
        <w:tc>
          <w:tcPr>
            <w:tcW w:w="1077" w:type="dxa"/>
            <w:tcBorders>
              <w:top w:val="single" w:sz="2" w:space="0" w:color="1C75BC"/>
              <w:left w:val="nil"/>
              <w:bottom w:val="single" w:sz="2" w:space="0" w:color="1C75BC"/>
              <w:right w:val="single" w:sz="2" w:space="0" w:color="1C75BC"/>
            </w:tcBorders>
            <w:shd w:val="clear" w:color="auto" w:fill="91ACDA"/>
          </w:tcPr>
          <w:p>
            <w:pPr>
              <w:pStyle w:val="TableParagraph"/>
              <w:ind w:left="196" w:right="188"/>
              <w:rPr>
                <w:sz w:val="18"/>
              </w:rPr>
            </w:pPr>
            <w:r>
              <w:rPr>
                <w:w w:val="105"/>
                <w:sz w:val="18"/>
              </w:rPr>
              <w:t>Medium</w:t>
            </w:r>
          </w:p>
        </w:tc>
        <w:tc>
          <w:tcPr>
            <w:tcW w:w="141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ind w:left="525" w:right="517"/>
              <w:rPr>
                <w:sz w:val="18"/>
              </w:rPr>
            </w:pPr>
            <w:r>
              <w:rPr>
                <w:w w:val="105"/>
                <w:sz w:val="18"/>
              </w:rPr>
              <w:t>9%</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ind w:right="368"/>
              <w:jc w:val="right"/>
              <w:rPr>
                <w:sz w:val="18"/>
              </w:rPr>
            </w:pPr>
            <w:r>
              <w:rPr>
                <w:sz w:val="18"/>
              </w:rPr>
              <w:t>10%</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ind w:left="310" w:right="304"/>
              <w:rPr>
                <w:sz w:val="18"/>
              </w:rPr>
            </w:pPr>
            <w:r>
              <w:rPr>
                <w:w w:val="105"/>
                <w:sz w:val="18"/>
              </w:rPr>
              <w:t>13%</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ind w:left="377"/>
              <w:jc w:val="left"/>
              <w:rPr>
                <w:sz w:val="18"/>
              </w:rPr>
            </w:pPr>
            <w:r>
              <w:rPr>
                <w:w w:val="105"/>
                <w:sz w:val="18"/>
              </w:rPr>
              <w:t>32%</w:t>
            </w:r>
          </w:p>
        </w:tc>
      </w:tr>
      <w:tr>
        <w:trPr>
          <w:trHeight w:val="391" w:hRule="atLeast"/>
        </w:trPr>
        <w:tc>
          <w:tcPr>
            <w:tcW w:w="1361" w:type="dxa"/>
            <w:tcBorders>
              <w:top w:val="single" w:sz="2" w:space="0" w:color="1C75BC"/>
              <w:left w:val="single" w:sz="2" w:space="0" w:color="1C75BC"/>
              <w:bottom w:val="single" w:sz="2" w:space="0" w:color="1C75BC"/>
              <w:right w:val="single" w:sz="2" w:space="0" w:color="1C75BC"/>
            </w:tcBorders>
          </w:tcPr>
          <w:p>
            <w:pPr>
              <w:pStyle w:val="TableParagraph"/>
              <w:ind w:left="97" w:right="92"/>
              <w:rPr>
                <w:sz w:val="18"/>
              </w:rPr>
            </w:pPr>
            <w:r>
              <w:rPr>
                <w:w w:val="105"/>
                <w:sz w:val="18"/>
              </w:rPr>
              <w:t>Kitchen</w:t>
            </w:r>
          </w:p>
        </w:tc>
        <w:tc>
          <w:tcPr>
            <w:tcW w:w="1474" w:type="dxa"/>
            <w:tcBorders>
              <w:top w:val="nil"/>
              <w:left w:val="single" w:sz="2" w:space="0" w:color="1C75BC"/>
              <w:bottom w:val="nil"/>
              <w:right w:val="single" w:sz="2" w:space="0" w:color="1C75BC"/>
            </w:tcBorders>
            <w:shd w:val="clear" w:color="auto" w:fill="E5E9F6"/>
          </w:tcPr>
          <w:p>
            <w:pPr>
              <w:pStyle w:val="TableParagraph"/>
              <w:ind w:left="81" w:right="77"/>
              <w:rPr>
                <w:sz w:val="18"/>
              </w:rPr>
            </w:pPr>
            <w:r>
              <w:rPr>
                <w:w w:val="105"/>
                <w:sz w:val="18"/>
              </w:rPr>
              <w:t>No initiative</w:t>
            </w:r>
          </w:p>
        </w:tc>
        <w:tc>
          <w:tcPr>
            <w:tcW w:w="1077" w:type="dxa"/>
            <w:tcBorders>
              <w:top w:val="single" w:sz="2" w:space="0" w:color="1C75BC"/>
              <w:left w:val="single" w:sz="2" w:space="0" w:color="1C75BC"/>
              <w:bottom w:val="single" w:sz="2" w:space="0" w:color="1C75BC"/>
              <w:right w:val="single" w:sz="2" w:space="0" w:color="1C75BC"/>
            </w:tcBorders>
            <w:shd w:val="clear" w:color="auto" w:fill="E5E9F6"/>
          </w:tcPr>
          <w:p>
            <w:pPr>
              <w:pStyle w:val="TableParagraph"/>
              <w:ind w:left="310" w:right="305"/>
              <w:rPr>
                <w:sz w:val="18"/>
              </w:rPr>
            </w:pPr>
            <w:r>
              <w:rPr>
                <w:w w:val="105"/>
                <w:sz w:val="18"/>
              </w:rPr>
              <w:t>Small</w:t>
            </w:r>
          </w:p>
        </w:tc>
        <w:tc>
          <w:tcPr>
            <w:tcW w:w="141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ind w:left="525" w:right="519"/>
              <w:rPr>
                <w:sz w:val="18"/>
              </w:rPr>
            </w:pPr>
            <w:r>
              <w:rPr>
                <w:w w:val="105"/>
                <w:sz w:val="18"/>
              </w:rPr>
              <w:t>7%</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ind w:right="379"/>
              <w:jc w:val="right"/>
              <w:rPr>
                <w:sz w:val="18"/>
              </w:rPr>
            </w:pPr>
            <w:r>
              <w:rPr>
                <w:w w:val="105"/>
                <w:sz w:val="18"/>
              </w:rPr>
              <w:t>11%</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ind w:left="310" w:right="304"/>
              <w:rPr>
                <w:sz w:val="18"/>
              </w:rPr>
            </w:pPr>
            <w:r>
              <w:rPr>
                <w:w w:val="105"/>
                <w:sz w:val="18"/>
              </w:rPr>
              <w:t>13%</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ind w:left="384"/>
              <w:jc w:val="left"/>
              <w:rPr>
                <w:sz w:val="18"/>
              </w:rPr>
            </w:pPr>
            <w:r>
              <w:rPr>
                <w:w w:val="105"/>
                <w:sz w:val="18"/>
              </w:rPr>
              <w:t>31%</w:t>
            </w:r>
          </w:p>
        </w:tc>
      </w:tr>
      <w:tr>
        <w:trPr>
          <w:trHeight w:val="391" w:hRule="atLeast"/>
        </w:trPr>
        <w:tc>
          <w:tcPr>
            <w:tcW w:w="1361" w:type="dxa"/>
            <w:tcBorders>
              <w:top w:val="single" w:sz="2" w:space="0" w:color="1C75BC"/>
              <w:left w:val="single" w:sz="2" w:space="0" w:color="1C75BC"/>
              <w:bottom w:val="single" w:sz="2" w:space="0" w:color="1C75BC"/>
              <w:right w:val="nil"/>
            </w:tcBorders>
            <w:shd w:val="clear" w:color="auto" w:fill="B9C9E7"/>
          </w:tcPr>
          <w:p>
            <w:pPr>
              <w:pStyle w:val="TableParagraph"/>
              <w:ind w:left="96" w:right="94"/>
              <w:rPr>
                <w:sz w:val="18"/>
              </w:rPr>
            </w:pPr>
            <w:r>
              <w:rPr>
                <w:sz w:val="18"/>
              </w:rPr>
              <w:t>Bathroom</w:t>
            </w:r>
          </w:p>
        </w:tc>
        <w:tc>
          <w:tcPr>
            <w:tcW w:w="1474" w:type="dxa"/>
            <w:tcBorders>
              <w:top w:val="nil"/>
              <w:left w:val="nil"/>
              <w:bottom w:val="nil"/>
              <w:right w:val="nil"/>
            </w:tcBorders>
            <w:shd w:val="clear" w:color="auto" w:fill="1C75BC"/>
          </w:tcPr>
          <w:p>
            <w:pPr>
              <w:pStyle w:val="TableParagraph"/>
              <w:ind w:left="239" w:right="235"/>
              <w:rPr>
                <w:sz w:val="18"/>
              </w:rPr>
            </w:pPr>
            <w:r>
              <w:rPr>
                <w:color w:val="FFFFFF"/>
                <w:sz w:val="18"/>
              </w:rPr>
              <w:t>Free disposal</w:t>
            </w:r>
          </w:p>
        </w:tc>
        <w:tc>
          <w:tcPr>
            <w:tcW w:w="1077" w:type="dxa"/>
            <w:tcBorders>
              <w:top w:val="single" w:sz="2" w:space="0" w:color="1C75BC"/>
              <w:left w:val="nil"/>
              <w:bottom w:val="single" w:sz="2" w:space="0" w:color="1C75BC"/>
              <w:right w:val="single" w:sz="2" w:space="0" w:color="1C75BC"/>
            </w:tcBorders>
            <w:shd w:val="clear" w:color="auto" w:fill="91ACDA"/>
          </w:tcPr>
          <w:p>
            <w:pPr>
              <w:pStyle w:val="TableParagraph"/>
              <w:ind w:left="196" w:right="188"/>
              <w:rPr>
                <w:sz w:val="18"/>
              </w:rPr>
            </w:pPr>
            <w:r>
              <w:rPr>
                <w:w w:val="105"/>
                <w:sz w:val="18"/>
              </w:rPr>
              <w:t>Medium</w:t>
            </w:r>
          </w:p>
        </w:tc>
        <w:tc>
          <w:tcPr>
            <w:tcW w:w="141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ind w:left="525" w:right="517"/>
              <w:rPr>
                <w:sz w:val="18"/>
              </w:rPr>
            </w:pPr>
            <w:r>
              <w:rPr>
                <w:w w:val="105"/>
                <w:sz w:val="18"/>
              </w:rPr>
              <w:t>9%</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ind w:right="368"/>
              <w:jc w:val="right"/>
              <w:rPr>
                <w:sz w:val="18"/>
              </w:rPr>
            </w:pPr>
            <w:r>
              <w:rPr>
                <w:sz w:val="18"/>
              </w:rPr>
              <w:t>10%</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ind w:left="310" w:right="304"/>
              <w:rPr>
                <w:sz w:val="18"/>
              </w:rPr>
            </w:pPr>
            <w:r>
              <w:rPr>
                <w:w w:val="105"/>
                <w:sz w:val="18"/>
              </w:rPr>
              <w:t>12%</w:t>
            </w:r>
          </w:p>
        </w:tc>
        <w:tc>
          <w:tcPr>
            <w:tcW w:w="1077" w:type="dxa"/>
            <w:tcBorders>
              <w:top w:val="single" w:sz="2" w:space="0" w:color="1C75BC"/>
              <w:left w:val="single" w:sz="2" w:space="0" w:color="1C75BC"/>
              <w:bottom w:val="single" w:sz="2" w:space="0" w:color="1C75BC"/>
              <w:right w:val="single" w:sz="2" w:space="0" w:color="1C75BC"/>
            </w:tcBorders>
            <w:shd w:val="clear" w:color="auto" w:fill="B9C9E7"/>
          </w:tcPr>
          <w:p>
            <w:pPr>
              <w:pStyle w:val="TableParagraph"/>
              <w:ind w:left="384"/>
              <w:jc w:val="left"/>
              <w:rPr>
                <w:sz w:val="18"/>
              </w:rPr>
            </w:pPr>
            <w:r>
              <w:rPr>
                <w:w w:val="105"/>
                <w:sz w:val="18"/>
              </w:rPr>
              <w:t>31%</w:t>
            </w:r>
          </w:p>
        </w:tc>
      </w:tr>
    </w:tbl>
    <w:p>
      <w:pPr>
        <w:spacing w:after="0"/>
        <w:jc w:val="left"/>
        <w:rPr>
          <w:sz w:val="18"/>
        </w:rPr>
        <w:sectPr>
          <w:type w:val="continuous"/>
          <w:pgSz w:w="11910" w:h="16840"/>
          <w:pgMar w:top="1580" w:bottom="280" w:left="0" w:right="0"/>
        </w:sectPr>
      </w:pPr>
    </w:p>
    <w:p>
      <w:pPr>
        <w:pStyle w:val="Heading2"/>
        <w:spacing w:before="83"/>
      </w:pPr>
      <w:r>
        <w:rPr>
          <w:w w:val="90"/>
        </w:rPr>
        <w:t>Likelihood to self-remove asbestos</w:t>
      </w:r>
    </w:p>
    <w:p>
      <w:pPr>
        <w:pStyle w:val="BodyText"/>
        <w:spacing w:line="283" w:lineRule="auto" w:before="159"/>
        <w:ind w:left="1700" w:right="5915"/>
      </w:pPr>
      <w:r>
        <w:rPr/>
        <w:t>The</w:t>
      </w:r>
      <w:r>
        <w:rPr>
          <w:spacing w:val="-18"/>
        </w:rPr>
        <w:t> </w:t>
      </w:r>
      <w:r>
        <w:rPr/>
        <w:t>majority</w:t>
      </w:r>
      <w:r>
        <w:rPr>
          <w:spacing w:val="-18"/>
        </w:rPr>
        <w:t> </w:t>
      </w:r>
      <w:r>
        <w:rPr/>
        <w:t>of</w:t>
      </w:r>
      <w:r>
        <w:rPr>
          <w:spacing w:val="-18"/>
        </w:rPr>
        <w:t> </w:t>
      </w:r>
      <w:r>
        <w:rPr/>
        <w:t>homeowners</w:t>
      </w:r>
      <w:r>
        <w:rPr>
          <w:spacing w:val="-18"/>
        </w:rPr>
        <w:t> </w:t>
      </w:r>
      <w:r>
        <w:rPr/>
        <w:t>surveyed</w:t>
      </w:r>
      <w:r>
        <w:rPr>
          <w:spacing w:val="-18"/>
        </w:rPr>
        <w:t> </w:t>
      </w:r>
      <w:r>
        <w:rPr>
          <w:spacing w:val="-3"/>
        </w:rPr>
        <w:t>indicated</w:t>
      </w:r>
      <w:r>
        <w:rPr>
          <w:spacing w:val="-18"/>
        </w:rPr>
        <w:t> </w:t>
      </w:r>
      <w:r>
        <w:rPr>
          <w:spacing w:val="-3"/>
        </w:rPr>
        <w:t>that</w:t>
      </w:r>
      <w:r>
        <w:rPr>
          <w:spacing w:val="-18"/>
        </w:rPr>
        <w:t> </w:t>
      </w:r>
      <w:r>
        <w:rPr/>
        <w:t>the </w:t>
      </w:r>
      <w:r>
        <w:rPr>
          <w:spacing w:val="-3"/>
        </w:rPr>
        <w:t>likelihood</w:t>
      </w:r>
      <w:r>
        <w:rPr>
          <w:spacing w:val="-16"/>
        </w:rPr>
        <w:t> </w:t>
      </w:r>
      <w:r>
        <w:rPr/>
        <w:t>of</w:t>
      </w:r>
      <w:r>
        <w:rPr>
          <w:spacing w:val="-16"/>
        </w:rPr>
        <w:t> </w:t>
      </w:r>
      <w:r>
        <w:rPr>
          <w:spacing w:val="-3"/>
        </w:rPr>
        <w:t>self-removal</w:t>
      </w:r>
      <w:r>
        <w:rPr>
          <w:spacing w:val="-16"/>
        </w:rPr>
        <w:t> </w:t>
      </w:r>
      <w:r>
        <w:rPr/>
        <w:t>of</w:t>
      </w:r>
      <w:r>
        <w:rPr>
          <w:spacing w:val="-16"/>
        </w:rPr>
        <w:t> </w:t>
      </w:r>
      <w:r>
        <w:rPr>
          <w:spacing w:val="-3"/>
        </w:rPr>
        <w:t>asbestos</w:t>
      </w:r>
      <w:r>
        <w:rPr>
          <w:spacing w:val="-16"/>
        </w:rPr>
        <w:t> </w:t>
      </w:r>
      <w:r>
        <w:rPr/>
        <w:t>was</w:t>
      </w:r>
      <w:r>
        <w:rPr>
          <w:spacing w:val="-16"/>
        </w:rPr>
        <w:t> </w:t>
      </w:r>
      <w:r>
        <w:rPr>
          <w:spacing w:val="-4"/>
        </w:rPr>
        <w:t>low.</w:t>
      </w:r>
      <w:r>
        <w:rPr>
          <w:spacing w:val="-16"/>
        </w:rPr>
        <w:t> </w:t>
      </w:r>
      <w:r>
        <w:rPr/>
        <w:t>Eighty-one </w:t>
      </w:r>
      <w:r>
        <w:rPr>
          <w:spacing w:val="-3"/>
        </w:rPr>
        <w:t>percent</w:t>
      </w:r>
      <w:r>
        <w:rPr>
          <w:spacing w:val="-18"/>
        </w:rPr>
        <w:t> </w:t>
      </w:r>
      <w:r>
        <w:rPr/>
        <w:t>said</w:t>
      </w:r>
      <w:r>
        <w:rPr>
          <w:spacing w:val="-18"/>
        </w:rPr>
        <w:t> </w:t>
      </w:r>
      <w:r>
        <w:rPr>
          <w:spacing w:val="-3"/>
        </w:rPr>
        <w:t>that</w:t>
      </w:r>
      <w:r>
        <w:rPr>
          <w:spacing w:val="-18"/>
        </w:rPr>
        <w:t> </w:t>
      </w:r>
      <w:r>
        <w:rPr/>
        <w:t>they</w:t>
      </w:r>
      <w:r>
        <w:rPr>
          <w:spacing w:val="-18"/>
        </w:rPr>
        <w:t> </w:t>
      </w:r>
      <w:r>
        <w:rPr/>
        <w:t>would</w:t>
      </w:r>
      <w:r>
        <w:rPr>
          <w:spacing w:val="-18"/>
        </w:rPr>
        <w:t> </w:t>
      </w:r>
      <w:r>
        <w:rPr/>
        <w:t>be</w:t>
      </w:r>
      <w:r>
        <w:rPr>
          <w:spacing w:val="-18"/>
        </w:rPr>
        <w:t> </w:t>
      </w:r>
      <w:r>
        <w:rPr/>
        <w:t>at</w:t>
      </w:r>
      <w:r>
        <w:rPr>
          <w:spacing w:val="-18"/>
        </w:rPr>
        <w:t> </w:t>
      </w:r>
      <w:r>
        <w:rPr/>
        <w:t>least</w:t>
      </w:r>
      <w:r>
        <w:rPr>
          <w:spacing w:val="-18"/>
        </w:rPr>
        <w:t> </w:t>
      </w:r>
      <w:r>
        <w:rPr/>
        <w:t>more</w:t>
      </w:r>
      <w:r>
        <w:rPr>
          <w:spacing w:val="-18"/>
        </w:rPr>
        <w:t> </w:t>
      </w:r>
      <w:r>
        <w:rPr>
          <w:spacing w:val="-3"/>
        </w:rPr>
        <w:t>unlikely</w:t>
      </w:r>
      <w:r>
        <w:rPr>
          <w:spacing w:val="-18"/>
        </w:rPr>
        <w:t> </w:t>
      </w:r>
      <w:r>
        <w:rPr>
          <w:spacing w:val="-3"/>
        </w:rPr>
        <w:t>than </w:t>
      </w:r>
      <w:r>
        <w:rPr>
          <w:spacing w:val="-2"/>
        </w:rPr>
        <w:t>not</w:t>
      </w:r>
      <w:r>
        <w:rPr>
          <w:spacing w:val="-16"/>
        </w:rPr>
        <w:t> </w:t>
      </w:r>
      <w:r>
        <w:rPr>
          <w:spacing w:val="-3"/>
        </w:rPr>
        <w:t>to</w:t>
      </w:r>
      <w:r>
        <w:rPr>
          <w:spacing w:val="-16"/>
        </w:rPr>
        <w:t> </w:t>
      </w:r>
      <w:r>
        <w:rPr/>
        <w:t>do</w:t>
      </w:r>
      <w:r>
        <w:rPr>
          <w:spacing w:val="-16"/>
        </w:rPr>
        <w:t> </w:t>
      </w:r>
      <w:r>
        <w:rPr>
          <w:spacing w:val="-3"/>
        </w:rPr>
        <w:t>so,</w:t>
      </w:r>
      <w:r>
        <w:rPr>
          <w:spacing w:val="-16"/>
        </w:rPr>
        <w:t> </w:t>
      </w:r>
      <w:r>
        <w:rPr/>
        <w:t>while</w:t>
      </w:r>
      <w:r>
        <w:rPr>
          <w:spacing w:val="-16"/>
        </w:rPr>
        <w:t> </w:t>
      </w:r>
      <w:r>
        <w:rPr/>
        <w:t>half</w:t>
      </w:r>
      <w:r>
        <w:rPr>
          <w:spacing w:val="-16"/>
        </w:rPr>
        <w:t> </w:t>
      </w:r>
      <w:r>
        <w:rPr>
          <w:spacing w:val="-5"/>
        </w:rPr>
        <w:t>(52%)</w:t>
      </w:r>
      <w:r>
        <w:rPr>
          <w:spacing w:val="-16"/>
        </w:rPr>
        <w:t> </w:t>
      </w:r>
      <w:r>
        <w:rPr/>
        <w:t>said</w:t>
      </w:r>
      <w:r>
        <w:rPr>
          <w:spacing w:val="-16"/>
        </w:rPr>
        <w:t> </w:t>
      </w:r>
      <w:r>
        <w:rPr/>
        <w:t>they</w:t>
      </w:r>
      <w:r>
        <w:rPr>
          <w:spacing w:val="-16"/>
        </w:rPr>
        <w:t> </w:t>
      </w:r>
      <w:r>
        <w:rPr/>
        <w:t>would</w:t>
      </w:r>
      <w:r>
        <w:rPr>
          <w:spacing w:val="-16"/>
        </w:rPr>
        <w:t> </w:t>
      </w:r>
      <w:r>
        <w:rPr/>
        <w:t>be</w:t>
      </w:r>
      <w:r>
        <w:rPr>
          <w:spacing w:val="-16"/>
        </w:rPr>
        <w:t> </w:t>
      </w:r>
      <w:r>
        <w:rPr/>
        <w:t>virtually certain </w:t>
      </w:r>
      <w:r>
        <w:rPr>
          <w:spacing w:val="-2"/>
        </w:rPr>
        <w:t>not </w:t>
      </w:r>
      <w:r>
        <w:rPr>
          <w:spacing w:val="-3"/>
        </w:rPr>
        <w:t>to. </w:t>
      </w:r>
      <w:r>
        <w:rPr>
          <w:spacing w:val="-4"/>
        </w:rPr>
        <w:t>Conversely, </w:t>
      </w:r>
      <w:r>
        <w:rPr/>
        <w:t>one in </w:t>
      </w:r>
      <w:r>
        <w:rPr>
          <w:spacing w:val="-3"/>
        </w:rPr>
        <w:t>ten </w:t>
      </w:r>
      <w:r>
        <w:rPr/>
        <w:t>said they </w:t>
      </w:r>
      <w:r>
        <w:rPr>
          <w:spacing w:val="-3"/>
        </w:rPr>
        <w:t>were </w:t>
      </w:r>
      <w:r>
        <w:rPr/>
        <w:t>virtually</w:t>
      </w:r>
      <w:r>
        <w:rPr>
          <w:spacing w:val="-16"/>
        </w:rPr>
        <w:t> </w:t>
      </w:r>
      <w:r>
        <w:rPr/>
        <w:t>certain</w:t>
      </w:r>
      <w:r>
        <w:rPr>
          <w:spacing w:val="-16"/>
        </w:rPr>
        <w:t> </w:t>
      </w:r>
      <w:r>
        <w:rPr/>
        <w:t>or</w:t>
      </w:r>
      <w:r>
        <w:rPr>
          <w:spacing w:val="-16"/>
        </w:rPr>
        <w:t> </w:t>
      </w:r>
      <w:r>
        <w:rPr/>
        <w:t>very</w:t>
      </w:r>
      <w:r>
        <w:rPr>
          <w:spacing w:val="-16"/>
        </w:rPr>
        <w:t> </w:t>
      </w:r>
      <w:r>
        <w:rPr>
          <w:spacing w:val="-3"/>
        </w:rPr>
        <w:t>likely</w:t>
      </w:r>
      <w:r>
        <w:rPr>
          <w:spacing w:val="-16"/>
        </w:rPr>
        <w:t> </w:t>
      </w:r>
      <w:r>
        <w:rPr>
          <w:spacing w:val="-3"/>
        </w:rPr>
        <w:t>to</w:t>
      </w:r>
      <w:r>
        <w:rPr>
          <w:spacing w:val="-16"/>
        </w:rPr>
        <w:t> </w:t>
      </w:r>
      <w:r>
        <w:rPr>
          <w:spacing w:val="-3"/>
        </w:rPr>
        <w:t>self-remove</w:t>
      </w:r>
      <w:r>
        <w:rPr>
          <w:spacing w:val="-16"/>
        </w:rPr>
        <w:t> </w:t>
      </w:r>
      <w:r>
        <w:rPr/>
        <w:t>asbestos.</w:t>
      </w:r>
    </w:p>
    <w:p>
      <w:pPr>
        <w:pStyle w:val="BodyText"/>
        <w:spacing w:before="11"/>
        <w:rPr>
          <w:sz w:val="25"/>
        </w:rPr>
      </w:pPr>
    </w:p>
    <w:p>
      <w:pPr>
        <w:pStyle w:val="BodyText"/>
        <w:spacing w:before="103"/>
        <w:ind w:left="1700"/>
        <w:rPr>
          <w:rFonts w:ascii="Arial"/>
        </w:rPr>
      </w:pPr>
      <w:r>
        <w:rPr>
          <w:rFonts w:ascii="Arial"/>
          <w:w w:val="95"/>
        </w:rPr>
        <w:t>Table 1: Importance coefficients for conjoint analysis</w:t>
      </w:r>
    </w:p>
    <w:p>
      <w:pPr>
        <w:pStyle w:val="BodyText"/>
        <w:spacing w:before="8"/>
        <w:rPr>
          <w:rFonts w:ascii="Arial"/>
          <w:sz w:val="11"/>
        </w:rPr>
      </w:pPr>
      <w:r>
        <w:rPr/>
        <w:pict>
          <v:group style="position:absolute;margin-left:84.830002pt;margin-top:8.703254pt;width:425.05pt;height:80.95pt;mso-position-horizontal-relative:page;mso-position-vertical-relative:paragraph;z-index:1432;mso-wrap-distance-left:0;mso-wrap-distance-right:0" coordorigin="1697,174" coordsize="8501,1619">
            <v:rect style="position:absolute;left:5820;top:174;width:4377;height:1619" filled="true" fillcolor="#1c75bc" stroked="false">
              <v:fill type="solid"/>
            </v:rect>
            <v:rect style="position:absolute;left:4221;top:174;width:1600;height:1619" filled="true" fillcolor="#91acda" stroked="false">
              <v:fill type="solid"/>
            </v:rect>
            <v:shape style="position:absolute;left:7858;top:696;width:321;height:343" type="#_x0000_t202" filled="false" stroked="false">
              <v:textbox inset="0,0,0,0">
                <w:txbxContent>
                  <w:p>
                    <w:pPr>
                      <w:spacing w:line="337" w:lineRule="exact" w:before="5"/>
                      <w:ind w:left="0" w:right="0" w:firstLine="0"/>
                      <w:jc w:val="left"/>
                      <w:rPr>
                        <w:b/>
                        <w:sz w:val="28"/>
                      </w:rPr>
                    </w:pPr>
                    <w:r>
                      <w:rPr>
                        <w:b/>
                        <w:color w:val="FFFFFF"/>
                        <w:w w:val="105"/>
                        <w:sz w:val="28"/>
                      </w:rPr>
                      <w:t>52</w:t>
                    </w:r>
                  </w:p>
                </w:txbxContent>
              </v:textbox>
              <w10:wrap type="none"/>
            </v:shape>
            <v:shape style="position:absolute;left:4883;top:696;width:273;height:343" type="#_x0000_t202" filled="false" stroked="false">
              <v:textbox inset="0,0,0,0">
                <w:txbxContent>
                  <w:p>
                    <w:pPr>
                      <w:spacing w:line="337" w:lineRule="exact" w:before="5"/>
                      <w:ind w:left="0" w:right="0" w:firstLine="0"/>
                      <w:jc w:val="left"/>
                      <w:rPr>
                        <w:b/>
                        <w:sz w:val="28"/>
                      </w:rPr>
                    </w:pPr>
                    <w:r>
                      <w:rPr>
                        <w:b/>
                        <w:color w:val="FFFFFF"/>
                        <w:spacing w:val="-24"/>
                        <w:w w:val="105"/>
                        <w:sz w:val="28"/>
                      </w:rPr>
                      <w:t>19</w:t>
                    </w:r>
                  </w:p>
                </w:txbxContent>
              </v:textbox>
              <w10:wrap type="none"/>
            </v:shape>
            <v:shape style="position:absolute;left:3379;top:174;width:842;height:1619" type="#_x0000_t202" filled="true" fillcolor="#c4d0eb" stroked="false">
              <v:textbox inset="0,0,0,0">
                <w:txbxContent>
                  <w:p>
                    <w:pPr>
                      <w:spacing w:line="240" w:lineRule="auto" w:before="10"/>
                      <w:rPr>
                        <w:rFonts w:ascii="Arial"/>
                        <w:sz w:val="45"/>
                      </w:rPr>
                    </w:pPr>
                  </w:p>
                  <w:p>
                    <w:pPr>
                      <w:spacing w:before="0"/>
                      <w:ind w:left="240" w:right="260" w:firstLine="0"/>
                      <w:jc w:val="center"/>
                      <w:rPr>
                        <w:b/>
                        <w:sz w:val="28"/>
                      </w:rPr>
                    </w:pPr>
                    <w:r>
                      <w:rPr>
                        <w:b/>
                        <w:color w:val="FFFFFF"/>
                        <w:w w:val="105"/>
                        <w:sz w:val="28"/>
                      </w:rPr>
                      <w:t>10</w:t>
                    </w:r>
                  </w:p>
                </w:txbxContent>
              </v:textbox>
              <v:fill type="solid"/>
              <w10:wrap type="none"/>
            </v:shape>
            <v:shape style="position:absolute;left:2538;top:174;width:842;height:1619" type="#_x0000_t202" filled="true" fillcolor="#f4c2af" stroked="false">
              <v:textbox inset="0,0,0,0">
                <w:txbxContent>
                  <w:p>
                    <w:pPr>
                      <w:spacing w:line="240" w:lineRule="auto" w:before="10"/>
                      <w:rPr>
                        <w:rFonts w:ascii="Arial"/>
                        <w:sz w:val="45"/>
                      </w:rPr>
                    </w:pPr>
                  </w:p>
                  <w:p>
                    <w:pPr>
                      <w:spacing w:before="0"/>
                      <w:ind w:left="241" w:right="258" w:firstLine="0"/>
                      <w:jc w:val="center"/>
                      <w:rPr>
                        <w:b/>
                        <w:sz w:val="28"/>
                      </w:rPr>
                    </w:pPr>
                    <w:r>
                      <w:rPr>
                        <w:b/>
                        <w:color w:val="FFFFFF"/>
                        <w:w w:val="105"/>
                        <w:sz w:val="28"/>
                      </w:rPr>
                      <w:t>10</w:t>
                    </w:r>
                  </w:p>
                </w:txbxContent>
              </v:textbox>
              <v:fill type="solid"/>
              <w10:wrap type="none"/>
            </v:shape>
            <v:shape style="position:absolute;left:2033;top:174;width:505;height:1619" type="#_x0000_t202" filled="true" fillcolor="#e98f73" stroked="false">
              <v:textbox inset="0,0,0,0">
                <w:txbxContent>
                  <w:p>
                    <w:pPr>
                      <w:spacing w:line="240" w:lineRule="auto" w:before="10"/>
                      <w:rPr>
                        <w:rFonts w:ascii="Arial"/>
                        <w:sz w:val="45"/>
                      </w:rPr>
                    </w:pPr>
                  </w:p>
                  <w:p>
                    <w:pPr>
                      <w:spacing w:before="0"/>
                      <w:ind w:left="4" w:right="0" w:firstLine="0"/>
                      <w:jc w:val="center"/>
                      <w:rPr>
                        <w:b/>
                        <w:sz w:val="28"/>
                      </w:rPr>
                    </w:pPr>
                    <w:r>
                      <w:rPr>
                        <w:b/>
                        <w:color w:val="FFFFFF"/>
                        <w:w w:val="105"/>
                        <w:sz w:val="28"/>
                      </w:rPr>
                      <w:t>6</w:t>
                    </w:r>
                  </w:p>
                </w:txbxContent>
              </v:textbox>
              <v:fill type="solid"/>
              <w10:wrap type="none"/>
            </v:shape>
            <v:shape style="position:absolute;left:1696;top:174;width:337;height:1619" type="#_x0000_t202" filled="true" fillcolor="#d71920" stroked="false">
              <v:textbox inset="0,0,0,0">
                <w:txbxContent>
                  <w:p>
                    <w:pPr>
                      <w:spacing w:line="240" w:lineRule="auto" w:before="10"/>
                      <w:rPr>
                        <w:rFonts w:ascii="Arial"/>
                        <w:sz w:val="45"/>
                      </w:rPr>
                    </w:pPr>
                  </w:p>
                  <w:p>
                    <w:pPr>
                      <w:spacing w:before="0"/>
                      <w:ind w:left="89" w:right="0" w:firstLine="0"/>
                      <w:jc w:val="left"/>
                      <w:rPr>
                        <w:b/>
                        <w:sz w:val="28"/>
                      </w:rPr>
                    </w:pPr>
                    <w:r>
                      <w:rPr>
                        <w:b/>
                        <w:color w:val="FFFFFF"/>
                        <w:w w:val="105"/>
                        <w:sz w:val="28"/>
                      </w:rPr>
                      <w:t>4</w:t>
                    </w:r>
                  </w:p>
                </w:txbxContent>
              </v:textbox>
              <v:fill type="solid"/>
              <w10:wrap type="none"/>
            </v:shape>
            <w10:wrap type="topAndBottom"/>
          </v:group>
        </w:pict>
      </w:r>
    </w:p>
    <w:p>
      <w:pPr>
        <w:pStyle w:val="BodyText"/>
        <w:spacing w:before="5"/>
        <w:rPr>
          <w:rFonts w:ascii="Arial"/>
          <w:sz w:val="8"/>
        </w:rPr>
      </w:pPr>
    </w:p>
    <w:p>
      <w:pPr>
        <w:pStyle w:val="BodyText"/>
        <w:spacing w:line="66" w:lineRule="exact"/>
        <w:ind w:left="1691"/>
        <w:rPr>
          <w:rFonts w:ascii="Arial"/>
          <w:sz w:val="6"/>
        </w:rPr>
      </w:pPr>
      <w:r>
        <w:rPr>
          <w:rFonts w:ascii="Arial"/>
          <w:position w:val="0"/>
          <w:sz w:val="6"/>
        </w:rPr>
        <w:pict>
          <v:group style="width:421.35pt;height:2.85pt;mso-position-horizontal-relative:char;mso-position-vertical-relative:line" coordorigin="0,0" coordsize="8427,57">
            <v:line style="position:absolute" from="5,5" to="8421,5" stroked="true" strokeweight=".5pt" strokecolor="#000000">
              <v:stroke dashstyle="solid"/>
            </v:line>
            <v:line style="position:absolute" from="5,56" to="5,0" stroked="true" strokeweight=".5pt" strokecolor="#000000">
              <v:stroke dashstyle="solid"/>
            </v:line>
            <v:line style="position:absolute" from="1688,56" to="1688,0" stroked="true" strokeweight=".5pt" strokecolor="#000000">
              <v:stroke dashstyle="solid"/>
            </v:line>
            <v:line style="position:absolute" from="3372,56" to="3372,0" stroked="true" strokeweight=".5pt" strokecolor="#000000">
              <v:stroke dashstyle="solid"/>
            </v:line>
            <v:line style="position:absolute" from="5055,56" to="5055,0" stroked="true" strokeweight=".5pt" strokecolor="#000000">
              <v:stroke dashstyle="solid"/>
            </v:line>
            <v:line style="position:absolute" from="6738,56" to="6738,0" stroked="true" strokeweight=".5pt" strokecolor="#000000">
              <v:stroke dashstyle="solid"/>
            </v:line>
            <v:line style="position:absolute" from="8421,56" to="8421,0" stroked="true" strokeweight=".5pt" strokecolor="#000000">
              <v:stroke dashstyle="solid"/>
            </v:line>
          </v:group>
        </w:pict>
      </w:r>
      <w:r>
        <w:rPr>
          <w:rFonts w:ascii="Arial"/>
          <w:position w:val="0"/>
          <w:sz w:val="6"/>
        </w:rPr>
      </w:r>
    </w:p>
    <w:p>
      <w:pPr>
        <w:pStyle w:val="BodyText"/>
        <w:tabs>
          <w:tab w:pos="3287" w:val="left" w:leader="none"/>
          <w:tab w:pos="4970" w:val="left" w:leader="none"/>
          <w:tab w:pos="6653" w:val="left" w:leader="none"/>
          <w:tab w:pos="8337" w:val="left" w:leader="none"/>
          <w:tab w:pos="9974" w:val="left" w:leader="none"/>
        </w:tabs>
        <w:spacing w:before="17"/>
        <w:ind w:left="1650"/>
      </w:pPr>
      <w:r>
        <w:rPr/>
        <w:t>0</w:t>
        <w:tab/>
        <w:t>20</w:t>
        <w:tab/>
        <w:t>40</w:t>
        <w:tab/>
        <w:t>60</w:t>
        <w:tab/>
        <w:t>80</w:t>
        <w:tab/>
        <w:t>100</w:t>
      </w:r>
    </w:p>
    <w:p>
      <w:pPr>
        <w:pStyle w:val="BodyText"/>
        <w:spacing w:before="1"/>
        <w:rPr>
          <w:sz w:val="17"/>
        </w:rPr>
      </w:pPr>
    </w:p>
    <w:p>
      <w:pPr>
        <w:pStyle w:val="BodyText"/>
        <w:tabs>
          <w:tab w:pos="5559" w:val="left" w:leader="none"/>
          <w:tab w:pos="7282" w:val="left" w:leader="none"/>
        </w:tabs>
        <w:spacing w:line="436" w:lineRule="auto"/>
        <w:ind w:left="3242" w:right="2949"/>
      </w:pPr>
      <w:r>
        <w:rPr/>
        <w:pict>
          <v:rect style="position:absolute;margin-left:147.729996pt;margin-top:.235637pt;width:11.333pt;height:11.333pt;mso-position-horizontal-relative:page;mso-position-vertical-relative:paragraph;z-index:1480" filled="true" fillcolor="#d71920" stroked="false">
            <v:fill type="solid"/>
            <w10:wrap type="none"/>
          </v:rect>
        </w:pict>
      </w:r>
      <w:r>
        <w:rPr/>
        <w:pict>
          <v:rect style="position:absolute;margin-left:263.57901pt;margin-top:.235637pt;width:11.333pt;height:11.333pt;mso-position-horizontal-relative:page;mso-position-vertical-relative:paragraph;z-index:-36136" filled="true" fillcolor="#e98f73" stroked="false">
            <v:fill type="solid"/>
            <w10:wrap type="none"/>
          </v:rect>
        </w:pict>
      </w:r>
      <w:r>
        <w:rPr/>
        <w:pict>
          <v:rect style="position:absolute;margin-left:349.730011pt;margin-top:.235637pt;width:11.333pt;height:11.333pt;mso-position-horizontal-relative:page;mso-position-vertical-relative:paragraph;z-index:-36112" filled="true" fillcolor="#f4c2af" stroked="false">
            <v:fill type="solid"/>
            <w10:wrap type="none"/>
          </v:rect>
        </w:pict>
      </w:r>
      <w:r>
        <w:rPr/>
        <w:pict>
          <v:rect style="position:absolute;margin-left:147.729996pt;margin-top:20.235638pt;width:11.333pt;height:11.333pt;mso-position-horizontal-relative:page;mso-position-vertical-relative:paragraph;z-index:1552" filled="true" fillcolor="#c4d0eb" stroked="false">
            <v:fill type="solid"/>
            <w10:wrap type="none"/>
          </v:rect>
        </w:pict>
      </w:r>
      <w:r>
        <w:rPr/>
        <w:pict>
          <v:rect style="position:absolute;margin-left:263.57901pt;margin-top:20.235638pt;width:11.333pt;height:11.333pt;mso-position-horizontal-relative:page;mso-position-vertical-relative:paragraph;z-index:-36064" filled="true" fillcolor="#91acda" stroked="false">
            <v:fill type="solid"/>
            <w10:wrap type="none"/>
          </v:rect>
        </w:pict>
      </w:r>
      <w:r>
        <w:rPr/>
        <w:pict>
          <v:rect style="position:absolute;margin-left:349.730011pt;margin-top:20.235638pt;width:11.333pt;height:11.333pt;mso-position-horizontal-relative:page;mso-position-vertical-relative:paragraph;z-index:-36040" filled="true" fillcolor="#1c75bc" stroked="false">
            <v:fill type="solid"/>
            <w10:wrap type="none"/>
          </v:rect>
        </w:pict>
      </w:r>
      <w:r>
        <w:rPr/>
        <w:t>Virtually</w:t>
      </w:r>
      <w:r>
        <w:rPr>
          <w:spacing w:val="0"/>
        </w:rPr>
        <w:t> </w:t>
      </w:r>
      <w:r>
        <w:rPr/>
        <w:t>certain</w:t>
        <w:tab/>
        <w:t>Very</w:t>
      </w:r>
      <w:r>
        <w:rPr>
          <w:spacing w:val="-2"/>
        </w:rPr>
        <w:t> </w:t>
      </w:r>
      <w:r>
        <w:rPr/>
        <w:t>likely</w:t>
        <w:tab/>
        <w:t>More likely than not More unlikely</w:t>
      </w:r>
      <w:r>
        <w:rPr>
          <w:spacing w:val="3"/>
        </w:rPr>
        <w:t> </w:t>
      </w:r>
      <w:r>
        <w:rPr/>
        <w:t>than</w:t>
      </w:r>
      <w:r>
        <w:rPr>
          <w:spacing w:val="1"/>
        </w:rPr>
        <w:t> </w:t>
      </w:r>
      <w:r>
        <w:rPr/>
        <w:t>not</w:t>
        <w:tab/>
        <w:t>Very</w:t>
      </w:r>
      <w:r>
        <w:rPr>
          <w:spacing w:val="0"/>
        </w:rPr>
        <w:t> </w:t>
      </w:r>
      <w:r>
        <w:rPr/>
        <w:t>unlikely</w:t>
        <w:tab/>
        <w:t>Virtually certain not</w:t>
      </w:r>
      <w:r>
        <w:rPr>
          <w:spacing w:val="15"/>
        </w:rPr>
        <w:t> </w:t>
      </w:r>
      <w:r>
        <w:rPr/>
        <w:t>to</w:t>
      </w:r>
    </w:p>
    <w:p>
      <w:pPr>
        <w:pStyle w:val="BodyText"/>
        <w:spacing w:line="283" w:lineRule="auto" w:before="7"/>
        <w:ind w:left="2982" w:right="2949"/>
      </w:pPr>
      <w:r>
        <w:rPr>
          <w:spacing w:val="-10"/>
        </w:rPr>
        <w:t>Q11.</w:t>
      </w:r>
      <w:r>
        <w:rPr>
          <w:spacing w:val="-11"/>
        </w:rPr>
        <w:t> </w:t>
      </w:r>
      <w:r>
        <w:rPr/>
        <w:t>If</w:t>
      </w:r>
      <w:r>
        <w:rPr>
          <w:spacing w:val="-11"/>
        </w:rPr>
        <w:t> </w:t>
      </w:r>
      <w:r>
        <w:rPr/>
        <w:t>you</w:t>
      </w:r>
      <w:r>
        <w:rPr>
          <w:spacing w:val="-11"/>
        </w:rPr>
        <w:t> </w:t>
      </w:r>
      <w:r>
        <w:rPr/>
        <w:t>wanted</w:t>
      </w:r>
      <w:r>
        <w:rPr>
          <w:spacing w:val="-11"/>
        </w:rPr>
        <w:t> </w:t>
      </w:r>
      <w:r>
        <w:rPr/>
        <w:t>asbestos</w:t>
      </w:r>
      <w:r>
        <w:rPr>
          <w:spacing w:val="-11"/>
        </w:rPr>
        <w:t> </w:t>
      </w:r>
      <w:r>
        <w:rPr/>
        <w:t>removed</w:t>
      </w:r>
      <w:r>
        <w:rPr>
          <w:spacing w:val="-11"/>
        </w:rPr>
        <w:t> </w:t>
      </w:r>
      <w:r>
        <w:rPr/>
        <w:t>from</w:t>
      </w:r>
      <w:r>
        <w:rPr>
          <w:spacing w:val="-11"/>
        </w:rPr>
        <w:t> </w:t>
      </w:r>
      <w:r>
        <w:rPr/>
        <w:t>your</w:t>
      </w:r>
      <w:r>
        <w:rPr>
          <w:spacing w:val="-11"/>
        </w:rPr>
        <w:t> </w:t>
      </w:r>
      <w:r>
        <w:rPr/>
        <w:t>home,</w:t>
      </w:r>
      <w:r>
        <w:rPr>
          <w:spacing w:val="-11"/>
        </w:rPr>
        <w:t> </w:t>
      </w:r>
      <w:r>
        <w:rPr/>
        <w:t>how</w:t>
      </w:r>
      <w:r>
        <w:rPr>
          <w:spacing w:val="-11"/>
        </w:rPr>
        <w:t> </w:t>
      </w:r>
      <w:r>
        <w:rPr/>
        <w:t>likely</w:t>
      </w:r>
      <w:r>
        <w:rPr>
          <w:spacing w:val="-11"/>
        </w:rPr>
        <w:t> </w:t>
      </w:r>
      <w:r>
        <w:rPr/>
        <w:t>would</w:t>
      </w:r>
      <w:r>
        <w:rPr>
          <w:spacing w:val="-11"/>
        </w:rPr>
        <w:t> </w:t>
      </w:r>
      <w:r>
        <w:rPr/>
        <w:t>you</w:t>
      </w:r>
      <w:r>
        <w:rPr>
          <w:spacing w:val="-11"/>
        </w:rPr>
        <w:t> </w:t>
      </w:r>
      <w:r>
        <w:rPr/>
        <w:t>be</w:t>
      </w:r>
      <w:r>
        <w:rPr>
          <w:spacing w:val="-11"/>
        </w:rPr>
        <w:t> </w:t>
      </w:r>
      <w:r>
        <w:rPr/>
        <w:t>to do this work yourself? Base: </w:t>
      </w:r>
      <w:r>
        <w:rPr>
          <w:spacing w:val="-3"/>
        </w:rPr>
        <w:t>Total </w:t>
      </w:r>
      <w:r>
        <w:rPr/>
        <w:t>sample,</w:t>
      </w:r>
      <w:r>
        <w:rPr>
          <w:spacing w:val="-24"/>
        </w:rPr>
        <w:t> </w:t>
      </w:r>
      <w:r>
        <w:rPr>
          <w:spacing w:val="-3"/>
        </w:rPr>
        <w:t>n=2,036</w:t>
      </w:r>
    </w:p>
    <w:p>
      <w:pPr>
        <w:pStyle w:val="BodyText"/>
        <w:rPr>
          <w:sz w:val="20"/>
        </w:rPr>
      </w:pPr>
    </w:p>
    <w:p>
      <w:pPr>
        <w:spacing w:after="0"/>
        <w:rPr>
          <w:sz w:val="20"/>
        </w:rPr>
        <w:sectPr>
          <w:pgSz w:w="11910" w:h="16840"/>
          <w:pgMar w:top="1560" w:bottom="280" w:left="0" w:right="0"/>
        </w:sectPr>
      </w:pPr>
    </w:p>
    <w:p>
      <w:pPr>
        <w:pStyle w:val="BodyText"/>
        <w:spacing w:before="8"/>
        <w:rPr>
          <w:sz w:val="22"/>
        </w:rPr>
      </w:pPr>
    </w:p>
    <w:p>
      <w:pPr>
        <w:pStyle w:val="BodyText"/>
        <w:spacing w:line="283" w:lineRule="auto"/>
        <w:ind w:left="1700" w:right="-17"/>
      </w:pPr>
      <w:r>
        <w:rPr/>
        <w:t>Women </w:t>
      </w:r>
      <w:r>
        <w:rPr>
          <w:spacing w:val="-3"/>
        </w:rPr>
        <w:t>(79%), </w:t>
      </w:r>
      <w:r>
        <w:rPr/>
        <w:t>older homeowners (80% of those aged 65</w:t>
      </w:r>
      <w:r>
        <w:rPr>
          <w:spacing w:val="-15"/>
        </w:rPr>
        <w:t> </w:t>
      </w:r>
      <w:r>
        <w:rPr/>
        <w:t>and</w:t>
      </w:r>
      <w:r>
        <w:rPr>
          <w:spacing w:val="-15"/>
        </w:rPr>
        <w:t> </w:t>
      </w:r>
      <w:r>
        <w:rPr/>
        <w:t>over),</w:t>
      </w:r>
      <w:r>
        <w:rPr>
          <w:spacing w:val="-15"/>
        </w:rPr>
        <w:t> </w:t>
      </w:r>
      <w:r>
        <w:rPr/>
        <w:t>flat,</w:t>
      </w:r>
      <w:r>
        <w:rPr>
          <w:spacing w:val="-15"/>
        </w:rPr>
        <w:t> </w:t>
      </w:r>
      <w:r>
        <w:rPr/>
        <w:t>unit</w:t>
      </w:r>
      <w:r>
        <w:rPr>
          <w:spacing w:val="-15"/>
        </w:rPr>
        <w:t> </w:t>
      </w:r>
      <w:r>
        <w:rPr/>
        <w:t>or</w:t>
      </w:r>
      <w:r>
        <w:rPr>
          <w:spacing w:val="-15"/>
        </w:rPr>
        <w:t> </w:t>
      </w:r>
      <w:r>
        <w:rPr/>
        <w:t>apartment</w:t>
      </w:r>
      <w:r>
        <w:rPr>
          <w:spacing w:val="-15"/>
        </w:rPr>
        <w:t> </w:t>
      </w:r>
      <w:r>
        <w:rPr/>
        <w:t>dwellers</w:t>
      </w:r>
      <w:r>
        <w:rPr>
          <w:spacing w:val="-15"/>
        </w:rPr>
        <w:t> </w:t>
      </w:r>
      <w:r>
        <w:rPr>
          <w:spacing w:val="-3"/>
        </w:rPr>
        <w:t>(62%)</w:t>
      </w:r>
      <w:r>
        <w:rPr>
          <w:spacing w:val="-15"/>
        </w:rPr>
        <w:t> </w:t>
      </w:r>
      <w:r>
        <w:rPr/>
        <w:t>and those who have completed up to secondary school </w:t>
      </w:r>
      <w:r>
        <w:rPr>
          <w:spacing w:val="-4"/>
        </w:rPr>
        <w:t>(76%) </w:t>
      </w:r>
      <w:r>
        <w:rPr/>
        <w:t>are among groups less likely to conduct self- removal of asbestos (the percentages included above represent</w:t>
      </w:r>
      <w:r>
        <w:rPr>
          <w:spacing w:val="-17"/>
        </w:rPr>
        <w:t> </w:t>
      </w:r>
      <w:r>
        <w:rPr/>
        <w:t>the</w:t>
      </w:r>
      <w:r>
        <w:rPr>
          <w:spacing w:val="-17"/>
        </w:rPr>
        <w:t> </w:t>
      </w:r>
      <w:r>
        <w:rPr/>
        <w:t>combined</w:t>
      </w:r>
      <w:r>
        <w:rPr>
          <w:spacing w:val="-17"/>
        </w:rPr>
        <w:t> </w:t>
      </w:r>
      <w:r>
        <w:rPr/>
        <w:t>totals</w:t>
      </w:r>
      <w:r>
        <w:rPr>
          <w:spacing w:val="-17"/>
        </w:rPr>
        <w:t> </w:t>
      </w:r>
      <w:r>
        <w:rPr/>
        <w:t>for</w:t>
      </w:r>
      <w:r>
        <w:rPr>
          <w:spacing w:val="-17"/>
        </w:rPr>
        <w:t> </w:t>
      </w:r>
      <w:r>
        <w:rPr/>
        <w:t>virtually</w:t>
      </w:r>
      <w:r>
        <w:rPr>
          <w:spacing w:val="-17"/>
        </w:rPr>
        <w:t> </w:t>
      </w:r>
      <w:r>
        <w:rPr/>
        <w:t>certain</w:t>
      </w:r>
      <w:r>
        <w:rPr>
          <w:spacing w:val="-17"/>
        </w:rPr>
        <w:t> </w:t>
      </w:r>
      <w:r>
        <w:rPr/>
        <w:t>not</w:t>
      </w:r>
      <w:r>
        <w:rPr>
          <w:spacing w:val="-17"/>
        </w:rPr>
        <w:t> </w:t>
      </w:r>
      <w:r>
        <w:rPr/>
        <w:t>to and</w:t>
      </w:r>
      <w:r>
        <w:rPr>
          <w:spacing w:val="-13"/>
        </w:rPr>
        <w:t> </w:t>
      </w:r>
      <w:r>
        <w:rPr/>
        <w:t>very</w:t>
      </w:r>
      <w:r>
        <w:rPr>
          <w:spacing w:val="-13"/>
        </w:rPr>
        <w:t> </w:t>
      </w:r>
      <w:r>
        <w:rPr/>
        <w:t>unlikely).</w:t>
      </w:r>
      <w:r>
        <w:rPr>
          <w:spacing w:val="-13"/>
        </w:rPr>
        <w:t> </w:t>
      </w:r>
      <w:r>
        <w:rPr/>
        <w:t>Homeowners</w:t>
      </w:r>
      <w:r>
        <w:rPr>
          <w:spacing w:val="-13"/>
        </w:rPr>
        <w:t> </w:t>
      </w:r>
      <w:r>
        <w:rPr/>
        <w:t>who</w:t>
      </w:r>
      <w:r>
        <w:rPr>
          <w:spacing w:val="-13"/>
        </w:rPr>
        <w:t> </w:t>
      </w:r>
      <w:r>
        <w:rPr/>
        <w:t>have</w:t>
      </w:r>
      <w:r>
        <w:rPr>
          <w:spacing w:val="-13"/>
        </w:rPr>
        <w:t> </w:t>
      </w:r>
      <w:r>
        <w:rPr/>
        <w:t>had</w:t>
      </w:r>
      <w:r>
        <w:rPr>
          <w:spacing w:val="-13"/>
        </w:rPr>
        <w:t> </w:t>
      </w:r>
      <w:r>
        <w:rPr/>
        <w:t>previous renovation work completed on their home were also more likely to say they would conduct self-removal, alluding to a potentially heightened level of confidence acquired from their</w:t>
      </w:r>
      <w:r>
        <w:rPr>
          <w:spacing w:val="-11"/>
        </w:rPr>
        <w:t> </w:t>
      </w:r>
      <w:r>
        <w:rPr/>
        <w:t>experience.</w:t>
      </w:r>
    </w:p>
    <w:p>
      <w:pPr>
        <w:pStyle w:val="Heading2"/>
        <w:spacing w:before="107"/>
      </w:pPr>
      <w:r>
        <w:rPr>
          <w:w w:val="90"/>
        </w:rPr>
        <w:t>Conjoint analysis</w:t>
      </w:r>
    </w:p>
    <w:p>
      <w:pPr>
        <w:pStyle w:val="BodyText"/>
        <w:spacing w:line="283" w:lineRule="auto" w:before="159"/>
        <w:ind w:left="1700" w:right="-17"/>
      </w:pPr>
      <w:r>
        <w:rPr/>
        <w:t>Participants were also asked how likely they would be to</w:t>
      </w:r>
      <w:r>
        <w:rPr>
          <w:spacing w:val="-15"/>
        </w:rPr>
        <w:t> </w:t>
      </w:r>
      <w:r>
        <w:rPr/>
        <w:t>remove</w:t>
      </w:r>
      <w:r>
        <w:rPr>
          <w:spacing w:val="-15"/>
        </w:rPr>
        <w:t> </w:t>
      </w:r>
      <w:r>
        <w:rPr/>
        <w:t>asbestos</w:t>
      </w:r>
      <w:r>
        <w:rPr>
          <w:spacing w:val="-15"/>
        </w:rPr>
        <w:t> </w:t>
      </w:r>
      <w:r>
        <w:rPr/>
        <w:t>themselves</w:t>
      </w:r>
      <w:r>
        <w:rPr>
          <w:spacing w:val="-15"/>
        </w:rPr>
        <w:t> </w:t>
      </w:r>
      <w:r>
        <w:rPr/>
        <w:t>from</w:t>
      </w:r>
      <w:r>
        <w:rPr>
          <w:spacing w:val="-15"/>
        </w:rPr>
        <w:t> </w:t>
      </w:r>
      <w:r>
        <w:rPr/>
        <w:t>the</w:t>
      </w:r>
      <w:r>
        <w:rPr>
          <w:spacing w:val="-15"/>
        </w:rPr>
        <w:t> </w:t>
      </w:r>
      <w:r>
        <w:rPr/>
        <w:t>four</w:t>
      </w:r>
      <w:r>
        <w:rPr>
          <w:spacing w:val="-15"/>
        </w:rPr>
        <w:t> </w:t>
      </w:r>
      <w:r>
        <w:rPr/>
        <w:t>locations (i.e.</w:t>
      </w:r>
      <w:r>
        <w:rPr>
          <w:spacing w:val="-20"/>
        </w:rPr>
        <w:t> </w:t>
      </w:r>
      <w:r>
        <w:rPr/>
        <w:t>kitchen,</w:t>
      </w:r>
      <w:r>
        <w:rPr>
          <w:spacing w:val="-20"/>
        </w:rPr>
        <w:t> </w:t>
      </w:r>
      <w:r>
        <w:rPr/>
        <w:t>bathrooms,</w:t>
      </w:r>
      <w:r>
        <w:rPr>
          <w:spacing w:val="-20"/>
        </w:rPr>
        <w:t> </w:t>
      </w:r>
      <w:r>
        <w:rPr/>
        <w:t>eaves</w:t>
      </w:r>
      <w:r>
        <w:rPr>
          <w:spacing w:val="-20"/>
        </w:rPr>
        <w:t> </w:t>
      </w:r>
      <w:r>
        <w:rPr/>
        <w:t>and</w:t>
      </w:r>
      <w:r>
        <w:rPr>
          <w:spacing w:val="-20"/>
        </w:rPr>
        <w:t> </w:t>
      </w:r>
      <w:r>
        <w:rPr/>
        <w:t>guttering,</w:t>
      </w:r>
      <w:r>
        <w:rPr>
          <w:spacing w:val="-20"/>
        </w:rPr>
        <w:t> </w:t>
      </w:r>
      <w:r>
        <w:rPr/>
        <w:t>and</w:t>
      </w:r>
      <w:r>
        <w:rPr>
          <w:spacing w:val="-20"/>
        </w:rPr>
        <w:t> </w:t>
      </w:r>
      <w:r>
        <w:rPr/>
        <w:t>fence or</w:t>
      </w:r>
      <w:r>
        <w:rPr>
          <w:spacing w:val="-8"/>
        </w:rPr>
        <w:t> </w:t>
      </w:r>
      <w:r>
        <w:rPr/>
        <w:t>shed)</w:t>
      </w:r>
      <w:r>
        <w:rPr>
          <w:spacing w:val="-8"/>
        </w:rPr>
        <w:t> </w:t>
      </w:r>
      <w:r>
        <w:rPr/>
        <w:t>for</w:t>
      </w:r>
      <w:r>
        <w:rPr>
          <w:spacing w:val="-8"/>
        </w:rPr>
        <w:t> </w:t>
      </w:r>
      <w:r>
        <w:rPr/>
        <w:t>a</w:t>
      </w:r>
      <w:r>
        <w:rPr>
          <w:spacing w:val="-8"/>
        </w:rPr>
        <w:t> </w:t>
      </w:r>
      <w:r>
        <w:rPr/>
        <w:t>medium</w:t>
      </w:r>
      <w:r>
        <w:rPr>
          <w:spacing w:val="-8"/>
        </w:rPr>
        <w:t> </w:t>
      </w:r>
      <w:r>
        <w:rPr/>
        <w:t>volume</w:t>
      </w:r>
      <w:r>
        <w:rPr>
          <w:spacing w:val="-8"/>
        </w:rPr>
        <w:t> </w:t>
      </w:r>
      <w:r>
        <w:rPr/>
        <w:t>of</w:t>
      </w:r>
      <w:r>
        <w:rPr>
          <w:spacing w:val="-8"/>
        </w:rPr>
        <w:t> </w:t>
      </w:r>
      <w:r>
        <w:rPr/>
        <w:t>asbestos</w:t>
      </w:r>
      <w:r>
        <w:rPr>
          <w:spacing w:val="-8"/>
        </w:rPr>
        <w:t> </w:t>
      </w:r>
      <w:r>
        <w:rPr/>
        <w:t>at</w:t>
      </w:r>
      <w:r>
        <w:rPr>
          <w:spacing w:val="-8"/>
        </w:rPr>
        <w:t> </w:t>
      </w:r>
      <w:r>
        <w:rPr/>
        <w:t>a</w:t>
      </w:r>
      <w:r>
        <w:rPr>
          <w:spacing w:val="-8"/>
        </w:rPr>
        <w:t> </w:t>
      </w:r>
      <w:r>
        <w:rPr/>
        <w:t>cost</w:t>
      </w:r>
      <w:r>
        <w:rPr>
          <w:spacing w:val="-8"/>
        </w:rPr>
        <w:t> </w:t>
      </w:r>
      <w:r>
        <w:rPr/>
        <w:t>of</w:t>
      </w:r>
    </w:p>
    <w:p>
      <w:pPr>
        <w:pStyle w:val="BodyText"/>
        <w:spacing w:line="283" w:lineRule="auto" w:before="3"/>
        <w:ind w:left="1700" w:right="236"/>
      </w:pPr>
      <w:r>
        <w:rPr>
          <w:spacing w:val="-4"/>
        </w:rPr>
        <w:t>$1000</w:t>
      </w:r>
      <w:r>
        <w:rPr>
          <w:spacing w:val="-14"/>
        </w:rPr>
        <w:t> </w:t>
      </w:r>
      <w:r>
        <w:rPr/>
        <w:t>for</w:t>
      </w:r>
      <w:r>
        <w:rPr>
          <w:spacing w:val="-14"/>
        </w:rPr>
        <w:t> </w:t>
      </w:r>
      <w:r>
        <w:rPr/>
        <w:t>disposal.</w:t>
      </w:r>
      <w:r>
        <w:rPr>
          <w:spacing w:val="-14"/>
        </w:rPr>
        <w:t> </w:t>
      </w:r>
      <w:r>
        <w:rPr/>
        <w:t>No</w:t>
      </w:r>
      <w:r>
        <w:rPr>
          <w:spacing w:val="-14"/>
        </w:rPr>
        <w:t> </w:t>
      </w:r>
      <w:r>
        <w:rPr/>
        <w:t>removal</w:t>
      </w:r>
      <w:r>
        <w:rPr>
          <w:spacing w:val="-14"/>
        </w:rPr>
        <w:t> </w:t>
      </w:r>
      <w:r>
        <w:rPr/>
        <w:t>cost</w:t>
      </w:r>
      <w:r>
        <w:rPr>
          <w:spacing w:val="-14"/>
        </w:rPr>
        <w:t> </w:t>
      </w:r>
      <w:r>
        <w:rPr/>
        <w:t>is</w:t>
      </w:r>
      <w:r>
        <w:rPr>
          <w:spacing w:val="-14"/>
        </w:rPr>
        <w:t> </w:t>
      </w:r>
      <w:r>
        <w:rPr/>
        <w:t>incurred</w:t>
      </w:r>
      <w:r>
        <w:rPr>
          <w:spacing w:val="-14"/>
        </w:rPr>
        <w:t> </w:t>
      </w:r>
      <w:r>
        <w:rPr/>
        <w:t>as</w:t>
      </w:r>
      <w:r>
        <w:rPr>
          <w:spacing w:val="-14"/>
        </w:rPr>
        <w:t> </w:t>
      </w:r>
      <w:r>
        <w:rPr/>
        <w:t>the asbestos is removed by the home</w:t>
      </w:r>
      <w:r>
        <w:rPr>
          <w:spacing w:val="-25"/>
        </w:rPr>
        <w:t> </w:t>
      </w:r>
      <w:r>
        <w:rPr/>
        <w:t>owner.</w:t>
      </w:r>
    </w:p>
    <w:p>
      <w:pPr>
        <w:pStyle w:val="BodyText"/>
        <w:spacing w:line="283" w:lineRule="auto" w:before="1"/>
        <w:ind w:left="1700" w:right="30"/>
      </w:pPr>
      <w:r>
        <w:rPr/>
        <w:t>The modelling shows that, if asked to remove the as- bestos themselves, a much lower proportion of home- owners would be probable to undertake the work (i.e. provide a T3B response).</w:t>
      </w:r>
    </w:p>
    <w:p>
      <w:pPr>
        <w:pStyle w:val="BodyText"/>
        <w:spacing w:before="7"/>
        <w:rPr>
          <w:sz w:val="22"/>
        </w:rPr>
      </w:pPr>
      <w:r>
        <w:rPr/>
        <w:br w:type="column"/>
      </w:r>
      <w:r>
        <w:rPr>
          <w:sz w:val="22"/>
        </w:rPr>
      </w:r>
    </w:p>
    <w:p>
      <w:pPr>
        <w:pStyle w:val="BodyText"/>
        <w:spacing w:line="283" w:lineRule="auto" w:before="1"/>
        <w:ind w:left="413" w:right="1736"/>
      </w:pPr>
      <w:r>
        <w:rPr/>
        <w:t>The model predicts that 14% of homeowners would remove the asbestos themselves from the kitchen and bathrooms, while 12% would remove it from eaves and guttering or a shed or fence. For the comparable</w:t>
      </w:r>
    </w:p>
    <w:p>
      <w:pPr>
        <w:pStyle w:val="BodyText"/>
        <w:spacing w:line="283" w:lineRule="auto" w:before="2"/>
        <w:ind w:left="413" w:right="1692"/>
      </w:pPr>
      <w:r>
        <w:rPr/>
        <w:drawing>
          <wp:anchor distT="0" distB="0" distL="0" distR="0" allowOverlap="1" layoutInCell="1" locked="0" behindDoc="0" simplePos="0" relativeHeight="1624">
            <wp:simplePos x="0" y="0"/>
            <wp:positionH relativeFrom="page">
              <wp:posOffset>3924001</wp:posOffset>
            </wp:positionH>
            <wp:positionV relativeFrom="paragraph">
              <wp:posOffset>521199</wp:posOffset>
            </wp:positionV>
            <wp:extent cx="72204" cy="112013"/>
            <wp:effectExtent l="0" t="0" r="0" b="0"/>
            <wp:wrapNone/>
            <wp:docPr id="21" name="image12.png" descr=""/>
            <wp:cNvGraphicFramePr>
              <a:graphicFrameLocks noChangeAspect="1"/>
            </wp:cNvGraphicFramePr>
            <a:graphic>
              <a:graphicData uri="http://schemas.openxmlformats.org/drawingml/2006/picture">
                <pic:pic>
                  <pic:nvPicPr>
                    <pic:cNvPr id="22" name="image12.png"/>
                    <pic:cNvPicPr/>
                  </pic:nvPicPr>
                  <pic:blipFill>
                    <a:blip r:embed="rId16" cstate="print"/>
                    <a:stretch>
                      <a:fillRect/>
                    </a:stretch>
                  </pic:blipFill>
                  <pic:spPr>
                    <a:xfrm>
                      <a:off x="0" y="0"/>
                      <a:ext cx="72204" cy="112013"/>
                    </a:xfrm>
                    <a:prstGeom prst="rect">
                      <a:avLst/>
                    </a:prstGeom>
                  </pic:spPr>
                </pic:pic>
              </a:graphicData>
            </a:graphic>
          </wp:anchor>
        </w:drawing>
      </w:r>
      <w:r>
        <w:rPr/>
        <w:drawing>
          <wp:anchor distT="0" distB="0" distL="0" distR="0" allowOverlap="1" layoutInCell="1" locked="0" behindDoc="0" simplePos="0" relativeHeight="1648">
            <wp:simplePos x="0" y="0"/>
            <wp:positionH relativeFrom="page">
              <wp:posOffset>3924001</wp:posOffset>
            </wp:positionH>
            <wp:positionV relativeFrom="paragraph">
              <wp:posOffset>722300</wp:posOffset>
            </wp:positionV>
            <wp:extent cx="72019" cy="111728"/>
            <wp:effectExtent l="0" t="0" r="0" b="0"/>
            <wp:wrapNone/>
            <wp:docPr id="23" name="image11.png" descr=""/>
            <wp:cNvGraphicFramePr>
              <a:graphicFrameLocks noChangeAspect="1"/>
            </wp:cNvGraphicFramePr>
            <a:graphic>
              <a:graphicData uri="http://schemas.openxmlformats.org/drawingml/2006/picture">
                <pic:pic>
                  <pic:nvPicPr>
                    <pic:cNvPr id="24" name="image11.png"/>
                    <pic:cNvPicPr/>
                  </pic:nvPicPr>
                  <pic:blipFill>
                    <a:blip r:embed="rId15" cstate="print"/>
                    <a:stretch>
                      <a:fillRect/>
                    </a:stretch>
                  </pic:blipFill>
                  <pic:spPr>
                    <a:xfrm>
                      <a:off x="0" y="0"/>
                      <a:ext cx="72019" cy="111728"/>
                    </a:xfrm>
                    <a:prstGeom prst="rect">
                      <a:avLst/>
                    </a:prstGeom>
                  </pic:spPr>
                </pic:pic>
              </a:graphicData>
            </a:graphic>
          </wp:anchor>
        </w:drawing>
      </w:r>
      <w:r>
        <w:rPr/>
        <w:drawing>
          <wp:anchor distT="0" distB="0" distL="0" distR="0" allowOverlap="1" layoutInCell="1" locked="0" behindDoc="0" simplePos="0" relativeHeight="1672">
            <wp:simplePos x="0" y="0"/>
            <wp:positionH relativeFrom="page">
              <wp:posOffset>3924001</wp:posOffset>
            </wp:positionH>
            <wp:positionV relativeFrom="paragraph">
              <wp:posOffset>923399</wp:posOffset>
            </wp:positionV>
            <wp:extent cx="72019" cy="111728"/>
            <wp:effectExtent l="0" t="0" r="0" b="0"/>
            <wp:wrapNone/>
            <wp:docPr id="25" name="image11.png" descr=""/>
            <wp:cNvGraphicFramePr>
              <a:graphicFrameLocks noChangeAspect="1"/>
            </wp:cNvGraphicFramePr>
            <a:graphic>
              <a:graphicData uri="http://schemas.openxmlformats.org/drawingml/2006/picture">
                <pic:pic>
                  <pic:nvPicPr>
                    <pic:cNvPr id="26" name="image11.png"/>
                    <pic:cNvPicPr/>
                  </pic:nvPicPr>
                  <pic:blipFill>
                    <a:blip r:embed="rId15" cstate="print"/>
                    <a:stretch>
                      <a:fillRect/>
                    </a:stretch>
                  </pic:blipFill>
                  <pic:spPr>
                    <a:xfrm>
                      <a:off x="0" y="0"/>
                      <a:ext cx="72019" cy="111728"/>
                    </a:xfrm>
                    <a:prstGeom prst="rect">
                      <a:avLst/>
                    </a:prstGeom>
                  </pic:spPr>
                </pic:pic>
              </a:graphicData>
            </a:graphic>
          </wp:anchor>
        </w:drawing>
      </w:r>
      <w:r>
        <w:rPr/>
        <w:t>example</w:t>
      </w:r>
      <w:r>
        <w:rPr>
          <w:spacing w:val="-12"/>
        </w:rPr>
        <w:t> </w:t>
      </w:r>
      <w:r>
        <w:rPr/>
        <w:t>(i.e.</w:t>
      </w:r>
      <w:r>
        <w:rPr>
          <w:spacing w:val="-12"/>
        </w:rPr>
        <w:t> </w:t>
      </w:r>
      <w:r>
        <w:rPr/>
        <w:t>a</w:t>
      </w:r>
      <w:r>
        <w:rPr>
          <w:spacing w:val="-12"/>
        </w:rPr>
        <w:t> </w:t>
      </w:r>
      <w:r>
        <w:rPr/>
        <w:t>disposal</w:t>
      </w:r>
      <w:r>
        <w:rPr>
          <w:spacing w:val="-12"/>
        </w:rPr>
        <w:t> </w:t>
      </w:r>
      <w:r>
        <w:rPr/>
        <w:t>cost</w:t>
      </w:r>
      <w:r>
        <w:rPr>
          <w:spacing w:val="-12"/>
        </w:rPr>
        <w:t> </w:t>
      </w:r>
      <w:r>
        <w:rPr/>
        <w:t>of</w:t>
      </w:r>
      <w:r>
        <w:rPr>
          <w:spacing w:val="-12"/>
        </w:rPr>
        <w:t> </w:t>
      </w:r>
      <w:r>
        <w:rPr>
          <w:spacing w:val="-4"/>
        </w:rPr>
        <w:t>$1000</w:t>
      </w:r>
      <w:r>
        <w:rPr>
          <w:spacing w:val="-12"/>
        </w:rPr>
        <w:t> </w:t>
      </w:r>
      <w:r>
        <w:rPr/>
        <w:t>plus</w:t>
      </w:r>
      <w:r>
        <w:rPr>
          <w:spacing w:val="-12"/>
        </w:rPr>
        <w:t> </w:t>
      </w:r>
      <w:r>
        <w:rPr>
          <w:spacing w:val="-4"/>
        </w:rPr>
        <w:t>$1000</w:t>
      </w:r>
      <w:r>
        <w:rPr>
          <w:spacing w:val="-12"/>
        </w:rPr>
        <w:t> </w:t>
      </w:r>
      <w:r>
        <w:rPr/>
        <w:t>for</w:t>
      </w:r>
      <w:r>
        <w:rPr>
          <w:spacing w:val="-12"/>
        </w:rPr>
        <w:t> </w:t>
      </w:r>
      <w:r>
        <w:rPr/>
        <w:t>the contractor’s</w:t>
      </w:r>
      <w:r>
        <w:rPr>
          <w:spacing w:val="-24"/>
        </w:rPr>
        <w:t> </w:t>
      </w:r>
      <w:r>
        <w:rPr/>
        <w:t>removal</w:t>
      </w:r>
      <w:r>
        <w:rPr>
          <w:spacing w:val="-24"/>
        </w:rPr>
        <w:t> </w:t>
      </w:r>
      <w:r>
        <w:rPr/>
        <w:t>fee)</w:t>
      </w:r>
      <w:r>
        <w:rPr>
          <w:spacing w:val="-24"/>
        </w:rPr>
        <w:t> </w:t>
      </w:r>
      <w:r>
        <w:rPr/>
        <w:t>where</w:t>
      </w:r>
      <w:r>
        <w:rPr>
          <w:spacing w:val="-24"/>
        </w:rPr>
        <w:t> </w:t>
      </w:r>
      <w:r>
        <w:rPr/>
        <w:t>a</w:t>
      </w:r>
      <w:r>
        <w:rPr>
          <w:spacing w:val="-24"/>
        </w:rPr>
        <w:t> </w:t>
      </w:r>
      <w:r>
        <w:rPr/>
        <w:t>contractor</w:t>
      </w:r>
      <w:r>
        <w:rPr>
          <w:spacing w:val="-24"/>
        </w:rPr>
        <w:t> </w:t>
      </w:r>
      <w:r>
        <w:rPr/>
        <w:t>undertakes the</w:t>
      </w:r>
      <w:r>
        <w:rPr>
          <w:spacing w:val="-9"/>
        </w:rPr>
        <w:t> </w:t>
      </w:r>
      <w:r>
        <w:rPr/>
        <w:t>work,</w:t>
      </w:r>
      <w:r>
        <w:rPr>
          <w:spacing w:val="-9"/>
        </w:rPr>
        <w:t> </w:t>
      </w:r>
      <w:r>
        <w:rPr/>
        <w:t>the</w:t>
      </w:r>
      <w:r>
        <w:rPr>
          <w:spacing w:val="-9"/>
        </w:rPr>
        <w:t> </w:t>
      </w:r>
      <w:r>
        <w:rPr/>
        <w:t>T3B</w:t>
      </w:r>
      <w:r>
        <w:rPr>
          <w:spacing w:val="-9"/>
        </w:rPr>
        <w:t> </w:t>
      </w:r>
      <w:r>
        <w:rPr/>
        <w:t>responses</w:t>
      </w:r>
      <w:r>
        <w:rPr>
          <w:spacing w:val="-9"/>
        </w:rPr>
        <w:t> </w:t>
      </w:r>
      <w:r>
        <w:rPr/>
        <w:t>for</w:t>
      </w:r>
      <w:r>
        <w:rPr>
          <w:spacing w:val="-9"/>
        </w:rPr>
        <w:t> </w:t>
      </w:r>
      <w:r>
        <w:rPr/>
        <w:t>each</w:t>
      </w:r>
      <w:r>
        <w:rPr>
          <w:spacing w:val="-9"/>
        </w:rPr>
        <w:t> </w:t>
      </w:r>
      <w:r>
        <w:rPr/>
        <w:t>location</w:t>
      </w:r>
      <w:r>
        <w:rPr>
          <w:spacing w:val="-9"/>
        </w:rPr>
        <w:t> </w:t>
      </w:r>
      <w:r>
        <w:rPr/>
        <w:t>are:</w:t>
      </w:r>
    </w:p>
    <w:tbl>
      <w:tblPr>
        <w:tblW w:w="0" w:type="auto"/>
        <w:jc w:val="left"/>
        <w:tblInd w:w="6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32"/>
        <w:gridCol w:w="674"/>
      </w:tblGrid>
      <w:tr>
        <w:trPr>
          <w:trHeight w:val="264" w:hRule="atLeast"/>
        </w:trPr>
        <w:tc>
          <w:tcPr>
            <w:tcW w:w="1832" w:type="dxa"/>
          </w:tcPr>
          <w:p>
            <w:pPr>
              <w:pStyle w:val="TableParagraph"/>
              <w:spacing w:line="217" w:lineRule="exact" w:before="0"/>
              <w:ind w:left="50"/>
              <w:jc w:val="left"/>
              <w:rPr>
                <w:sz w:val="18"/>
              </w:rPr>
            </w:pPr>
            <w:r>
              <w:rPr>
                <w:sz w:val="18"/>
              </w:rPr>
              <w:t>Kitchen:</w:t>
            </w:r>
          </w:p>
        </w:tc>
        <w:tc>
          <w:tcPr>
            <w:tcW w:w="674" w:type="dxa"/>
          </w:tcPr>
          <w:p>
            <w:pPr>
              <w:pStyle w:val="TableParagraph"/>
              <w:spacing w:line="217" w:lineRule="exact" w:before="0"/>
              <w:ind w:right="49"/>
              <w:jc w:val="right"/>
              <w:rPr>
                <w:sz w:val="18"/>
              </w:rPr>
            </w:pPr>
            <w:r>
              <w:rPr>
                <w:w w:val="95"/>
                <w:sz w:val="18"/>
              </w:rPr>
              <w:t>22%</w:t>
            </w:r>
          </w:p>
        </w:tc>
      </w:tr>
      <w:tr>
        <w:trPr>
          <w:trHeight w:val="316" w:hRule="atLeast"/>
        </w:trPr>
        <w:tc>
          <w:tcPr>
            <w:tcW w:w="1832" w:type="dxa"/>
          </w:tcPr>
          <w:p>
            <w:pPr>
              <w:pStyle w:val="TableParagraph"/>
              <w:spacing w:before="48"/>
              <w:ind w:left="50"/>
              <w:jc w:val="left"/>
              <w:rPr>
                <w:sz w:val="18"/>
              </w:rPr>
            </w:pPr>
            <w:r>
              <w:rPr>
                <w:sz w:val="18"/>
              </w:rPr>
              <w:t>Bathroom:</w:t>
            </w:r>
          </w:p>
        </w:tc>
        <w:tc>
          <w:tcPr>
            <w:tcW w:w="674" w:type="dxa"/>
          </w:tcPr>
          <w:p>
            <w:pPr>
              <w:pStyle w:val="TableParagraph"/>
              <w:spacing w:before="48"/>
              <w:ind w:right="51"/>
              <w:jc w:val="right"/>
              <w:rPr>
                <w:sz w:val="18"/>
              </w:rPr>
            </w:pPr>
            <w:r>
              <w:rPr>
                <w:w w:val="95"/>
                <w:sz w:val="18"/>
              </w:rPr>
              <w:t>23%</w:t>
            </w:r>
          </w:p>
        </w:tc>
      </w:tr>
      <w:tr>
        <w:trPr>
          <w:trHeight w:val="316" w:hRule="atLeast"/>
        </w:trPr>
        <w:tc>
          <w:tcPr>
            <w:tcW w:w="1832" w:type="dxa"/>
          </w:tcPr>
          <w:p>
            <w:pPr>
              <w:pStyle w:val="TableParagraph"/>
              <w:spacing w:before="48"/>
              <w:ind w:left="50"/>
              <w:jc w:val="left"/>
              <w:rPr>
                <w:sz w:val="18"/>
              </w:rPr>
            </w:pPr>
            <w:r>
              <w:rPr>
                <w:sz w:val="18"/>
              </w:rPr>
              <w:t>Eaves and guttering:</w:t>
            </w:r>
          </w:p>
        </w:tc>
        <w:tc>
          <w:tcPr>
            <w:tcW w:w="674" w:type="dxa"/>
          </w:tcPr>
          <w:p>
            <w:pPr>
              <w:pStyle w:val="TableParagraph"/>
              <w:spacing w:before="48"/>
              <w:ind w:right="48"/>
              <w:jc w:val="right"/>
              <w:rPr>
                <w:sz w:val="18"/>
              </w:rPr>
            </w:pPr>
            <w:r>
              <w:rPr>
                <w:w w:val="95"/>
                <w:sz w:val="18"/>
              </w:rPr>
              <w:t>20%</w:t>
            </w:r>
          </w:p>
        </w:tc>
      </w:tr>
      <w:tr>
        <w:trPr>
          <w:trHeight w:val="264" w:hRule="atLeast"/>
        </w:trPr>
        <w:tc>
          <w:tcPr>
            <w:tcW w:w="1832" w:type="dxa"/>
          </w:tcPr>
          <w:p>
            <w:pPr>
              <w:pStyle w:val="TableParagraph"/>
              <w:spacing w:line="196" w:lineRule="exact" w:before="48"/>
              <w:ind w:left="50"/>
              <w:jc w:val="left"/>
              <w:rPr>
                <w:sz w:val="18"/>
              </w:rPr>
            </w:pPr>
            <w:r>
              <w:rPr>
                <w:sz w:val="18"/>
              </w:rPr>
              <w:t>Fence or shed:</w:t>
            </w:r>
          </w:p>
        </w:tc>
        <w:tc>
          <w:tcPr>
            <w:tcW w:w="674" w:type="dxa"/>
          </w:tcPr>
          <w:p>
            <w:pPr>
              <w:pStyle w:val="TableParagraph"/>
              <w:spacing w:line="196" w:lineRule="exact" w:before="48"/>
              <w:ind w:right="48"/>
              <w:jc w:val="right"/>
              <w:rPr>
                <w:sz w:val="18"/>
              </w:rPr>
            </w:pPr>
            <w:r>
              <w:rPr>
                <w:w w:val="95"/>
                <w:sz w:val="18"/>
              </w:rPr>
              <w:t>20%</w:t>
            </w:r>
          </w:p>
        </w:tc>
      </w:tr>
    </w:tbl>
    <w:p>
      <w:pPr>
        <w:pStyle w:val="BodyText"/>
        <w:rPr>
          <w:sz w:val="20"/>
        </w:rPr>
      </w:pPr>
    </w:p>
    <w:p>
      <w:pPr>
        <w:pStyle w:val="BodyText"/>
        <w:spacing w:line="283" w:lineRule="auto" w:before="179"/>
        <w:ind w:left="413" w:right="1782"/>
      </w:pPr>
      <w:r>
        <w:rPr/>
        <w:drawing>
          <wp:anchor distT="0" distB="0" distL="0" distR="0" allowOverlap="1" layoutInCell="1" locked="0" behindDoc="0" simplePos="0" relativeHeight="1696">
            <wp:simplePos x="0" y="0"/>
            <wp:positionH relativeFrom="page">
              <wp:posOffset>3924001</wp:posOffset>
            </wp:positionH>
            <wp:positionV relativeFrom="paragraph">
              <wp:posOffset>-264573</wp:posOffset>
            </wp:positionV>
            <wp:extent cx="72019" cy="111728"/>
            <wp:effectExtent l="0" t="0" r="0" b="0"/>
            <wp:wrapNone/>
            <wp:docPr id="27" name="image11.png" descr=""/>
            <wp:cNvGraphicFramePr>
              <a:graphicFrameLocks noChangeAspect="1"/>
            </wp:cNvGraphicFramePr>
            <a:graphic>
              <a:graphicData uri="http://schemas.openxmlformats.org/drawingml/2006/picture">
                <pic:pic>
                  <pic:nvPicPr>
                    <pic:cNvPr id="28" name="image11.png"/>
                    <pic:cNvPicPr/>
                  </pic:nvPicPr>
                  <pic:blipFill>
                    <a:blip r:embed="rId15" cstate="print"/>
                    <a:stretch>
                      <a:fillRect/>
                    </a:stretch>
                  </pic:blipFill>
                  <pic:spPr>
                    <a:xfrm>
                      <a:off x="0" y="0"/>
                      <a:ext cx="72019" cy="111728"/>
                    </a:xfrm>
                    <a:prstGeom prst="rect">
                      <a:avLst/>
                    </a:prstGeom>
                  </pic:spPr>
                </pic:pic>
              </a:graphicData>
            </a:graphic>
          </wp:anchor>
        </w:drawing>
      </w:r>
      <w:r>
        <w:rPr/>
        <w:t>Note that the proportion of those in the T3B is   higher</w:t>
      </w:r>
      <w:r>
        <w:rPr>
          <w:spacing w:val="18"/>
        </w:rPr>
        <w:t> </w:t>
      </w:r>
      <w:r>
        <w:rPr/>
        <w:t>for</w:t>
      </w:r>
      <w:r>
        <w:rPr>
          <w:spacing w:val="18"/>
        </w:rPr>
        <w:t> </w:t>
      </w:r>
      <w:r>
        <w:rPr/>
        <w:t>contractor</w:t>
      </w:r>
      <w:r>
        <w:rPr>
          <w:spacing w:val="18"/>
        </w:rPr>
        <w:t> </w:t>
      </w:r>
      <w:r>
        <w:rPr/>
        <w:t>removal,</w:t>
      </w:r>
      <w:r>
        <w:rPr>
          <w:spacing w:val="18"/>
        </w:rPr>
        <w:t> </w:t>
      </w:r>
      <w:r>
        <w:rPr/>
        <w:t>despite</w:t>
      </w:r>
      <w:r>
        <w:rPr>
          <w:spacing w:val="18"/>
        </w:rPr>
        <w:t> </w:t>
      </w:r>
      <w:r>
        <w:rPr/>
        <w:t>an</w:t>
      </w:r>
      <w:r>
        <w:rPr>
          <w:spacing w:val="18"/>
        </w:rPr>
        <w:t> </w:t>
      </w:r>
      <w:r>
        <w:rPr/>
        <w:t>additional</w:t>
      </w:r>
    </w:p>
    <w:p>
      <w:pPr>
        <w:pStyle w:val="BodyText"/>
        <w:spacing w:line="283" w:lineRule="auto" w:before="2"/>
        <w:ind w:left="413" w:right="1619"/>
      </w:pPr>
      <w:r>
        <w:rPr>
          <w:w w:val="105"/>
        </w:rPr>
        <w:t>$1000 cost to the homeowner due to the removal fee. This demonstrates a strong disinclination among many to remove the asbestos themselves.</w:t>
      </w:r>
    </w:p>
    <w:p>
      <w:pPr>
        <w:spacing w:after="0" w:line="283" w:lineRule="auto"/>
        <w:sectPr>
          <w:type w:val="continuous"/>
          <w:pgSz w:w="11910" w:h="16840"/>
          <w:pgMar w:top="1580" w:bottom="280" w:left="0" w:right="0"/>
          <w:cols w:num="2" w:equalWidth="0">
            <w:col w:w="5727" w:space="40"/>
            <w:col w:w="6143"/>
          </w:cols>
        </w:sectPr>
      </w:pPr>
    </w:p>
    <w:p>
      <w:pPr>
        <w:pStyle w:val="Heading1"/>
        <w:spacing w:before="88"/>
      </w:pPr>
      <w:r>
        <w:rPr/>
        <w:pict>
          <v:rect style="position:absolute;margin-left:0pt;margin-top:59.149113pt;width:595.276pt;height:7.387974pt;mso-position-horizontal-relative:page;mso-position-vertical-relative:paragraph;z-index:1816" filled="true" fillcolor="#000000" stroked="false">
            <v:fill opacity="49152f" type="solid"/>
            <w10:wrap type="none"/>
          </v:rect>
        </w:pict>
      </w:r>
      <w:r>
        <w:rPr/>
        <w:pict>
          <v:shape style="position:absolute;margin-left:56.693401pt;margin-top:-.378289pt;width:21.95pt;height:38.35pt;mso-position-horizontal-relative:page;mso-position-vertical-relative:paragraph;z-index:1840" coordorigin="1134,-8" coordsize="439,767" path="m1189,-8l1135,47,1463,375,1134,704,1189,759,1572,375,1189,-8xe" filled="true" fillcolor="#d71920" stroked="false">
            <v:path arrowok="t"/>
            <v:fill type="solid"/>
            <w10:wrap type="none"/>
          </v:shape>
        </w:pict>
      </w:r>
      <w:r>
        <w:rPr>
          <w:color w:val="1C75BC"/>
          <w:spacing w:val="5"/>
          <w:w w:val="80"/>
        </w:rPr>
        <w:t>MOTIVATIONS </w:t>
      </w:r>
      <w:r>
        <w:rPr>
          <w:color w:val="1C75BC"/>
          <w:spacing w:val="5"/>
          <w:w w:val="80"/>
        </w:rPr>
        <w:t>FOR REMOVAL </w:t>
      </w:r>
      <w:r>
        <w:rPr>
          <w:color w:val="1C75BC"/>
          <w:spacing w:val="10"/>
          <w:w w:val="80"/>
        </w:rPr>
        <w:t>AND</w:t>
      </w:r>
      <w:r>
        <w:rPr>
          <w:color w:val="1C75BC"/>
          <w:spacing w:val="-49"/>
          <w:w w:val="80"/>
        </w:rPr>
        <w:t> </w:t>
      </w:r>
      <w:r>
        <w:rPr>
          <w:color w:val="1C75BC"/>
          <w:spacing w:val="10"/>
          <w:w w:val="80"/>
        </w:rPr>
        <w:t>DISPOSAL</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29"/>
        </w:rPr>
      </w:pPr>
    </w:p>
    <w:p>
      <w:pPr>
        <w:spacing w:after="0"/>
        <w:rPr>
          <w:rFonts w:ascii="Arial"/>
          <w:sz w:val="29"/>
        </w:rPr>
        <w:sectPr>
          <w:pgSz w:w="11910" w:h="16840"/>
          <w:pgMar w:top="1520" w:bottom="280" w:left="0" w:right="0"/>
        </w:sectPr>
      </w:pPr>
    </w:p>
    <w:p>
      <w:pPr>
        <w:pStyle w:val="BodyText"/>
        <w:spacing w:before="103"/>
        <w:ind w:left="1700"/>
      </w:pPr>
      <w:r>
        <w:rPr>
          <w:w w:val="105"/>
        </w:rPr>
        <w:t>Potential health impacts</w:t>
      </w:r>
    </w:p>
    <w:p>
      <w:pPr>
        <w:pStyle w:val="BodyText"/>
        <w:spacing w:line="283" w:lineRule="auto" w:before="170"/>
        <w:ind w:left="1700"/>
      </w:pPr>
      <w:r>
        <w:rPr/>
        <w:t>Focus group discussions revealed that the primary motivation for asbestos removal was the negative associated health risk posed. Those who owned older properties</w:t>
      </w:r>
      <w:r>
        <w:rPr>
          <w:spacing w:val="-14"/>
        </w:rPr>
        <w:t> </w:t>
      </w:r>
      <w:r>
        <w:rPr/>
        <w:t>had</w:t>
      </w:r>
      <w:r>
        <w:rPr>
          <w:spacing w:val="-14"/>
        </w:rPr>
        <w:t> </w:t>
      </w:r>
      <w:r>
        <w:rPr/>
        <w:t>often</w:t>
      </w:r>
      <w:r>
        <w:rPr>
          <w:spacing w:val="-14"/>
        </w:rPr>
        <w:t> </w:t>
      </w:r>
      <w:r>
        <w:rPr/>
        <w:t>already</w:t>
      </w:r>
      <w:r>
        <w:rPr>
          <w:spacing w:val="-14"/>
        </w:rPr>
        <w:t> </w:t>
      </w:r>
      <w:r>
        <w:rPr/>
        <w:t>considered</w:t>
      </w:r>
      <w:r>
        <w:rPr>
          <w:spacing w:val="-14"/>
        </w:rPr>
        <w:t> </w:t>
      </w:r>
      <w:r>
        <w:rPr/>
        <w:t>the</w:t>
      </w:r>
      <w:r>
        <w:rPr>
          <w:spacing w:val="-14"/>
        </w:rPr>
        <w:t> </w:t>
      </w:r>
      <w:r>
        <w:rPr/>
        <w:t>possibility of</w:t>
      </w:r>
      <w:r>
        <w:rPr>
          <w:spacing w:val="-9"/>
        </w:rPr>
        <w:t> </w:t>
      </w:r>
      <w:r>
        <w:rPr/>
        <w:t>asbestos</w:t>
      </w:r>
      <w:r>
        <w:rPr>
          <w:spacing w:val="-9"/>
        </w:rPr>
        <w:t> </w:t>
      </w:r>
      <w:r>
        <w:rPr/>
        <w:t>presence</w:t>
      </w:r>
      <w:r>
        <w:rPr>
          <w:spacing w:val="-9"/>
        </w:rPr>
        <w:t> </w:t>
      </w:r>
      <w:r>
        <w:rPr/>
        <w:t>in</w:t>
      </w:r>
      <w:r>
        <w:rPr>
          <w:spacing w:val="-9"/>
        </w:rPr>
        <w:t> </w:t>
      </w:r>
      <w:r>
        <w:rPr/>
        <w:t>the</w:t>
      </w:r>
      <w:r>
        <w:rPr>
          <w:spacing w:val="-9"/>
        </w:rPr>
        <w:t> </w:t>
      </w:r>
      <w:r>
        <w:rPr/>
        <w:t>home,</w:t>
      </w:r>
      <w:r>
        <w:rPr>
          <w:spacing w:val="-9"/>
        </w:rPr>
        <w:t> </w:t>
      </w:r>
      <w:r>
        <w:rPr/>
        <w:t>although</w:t>
      </w:r>
      <w:r>
        <w:rPr>
          <w:spacing w:val="-9"/>
        </w:rPr>
        <w:t> </w:t>
      </w:r>
      <w:r>
        <w:rPr/>
        <w:t>not</w:t>
      </w:r>
      <w:r>
        <w:rPr>
          <w:spacing w:val="-9"/>
        </w:rPr>
        <w:t> </w:t>
      </w:r>
      <w:r>
        <w:rPr/>
        <w:t>all</w:t>
      </w:r>
      <w:r>
        <w:rPr>
          <w:spacing w:val="-9"/>
        </w:rPr>
        <w:t> </w:t>
      </w:r>
      <w:r>
        <w:rPr/>
        <w:t>had addressed this by its removal. Intention to renovate was</w:t>
      </w:r>
      <w:r>
        <w:rPr>
          <w:spacing w:val="-17"/>
        </w:rPr>
        <w:t> </w:t>
      </w:r>
      <w:r>
        <w:rPr/>
        <w:t>a</w:t>
      </w:r>
      <w:r>
        <w:rPr>
          <w:spacing w:val="-17"/>
        </w:rPr>
        <w:t> </w:t>
      </w:r>
      <w:r>
        <w:rPr/>
        <w:t>trigger</w:t>
      </w:r>
      <w:r>
        <w:rPr>
          <w:spacing w:val="-17"/>
        </w:rPr>
        <w:t> </w:t>
      </w:r>
      <w:r>
        <w:rPr/>
        <w:t>for</w:t>
      </w:r>
      <w:r>
        <w:rPr>
          <w:spacing w:val="-17"/>
        </w:rPr>
        <w:t> </w:t>
      </w:r>
      <w:r>
        <w:rPr/>
        <w:t>the</w:t>
      </w:r>
      <w:r>
        <w:rPr>
          <w:spacing w:val="-17"/>
        </w:rPr>
        <w:t> </w:t>
      </w:r>
      <w:r>
        <w:rPr/>
        <w:t>consideration</w:t>
      </w:r>
      <w:r>
        <w:rPr>
          <w:spacing w:val="-17"/>
        </w:rPr>
        <w:t> </w:t>
      </w:r>
      <w:r>
        <w:rPr/>
        <w:t>of</w:t>
      </w:r>
      <w:r>
        <w:rPr>
          <w:spacing w:val="-17"/>
        </w:rPr>
        <w:t> </w:t>
      </w:r>
      <w:r>
        <w:rPr/>
        <w:t>removal</w:t>
      </w:r>
      <w:r>
        <w:rPr>
          <w:spacing w:val="-17"/>
        </w:rPr>
        <w:t> </w:t>
      </w:r>
      <w:r>
        <w:rPr/>
        <w:t>however, conversely, the potential presence of asbestos also acted a barrier to renovation work. The presence of others</w:t>
      </w:r>
      <w:r>
        <w:rPr>
          <w:spacing w:val="-16"/>
        </w:rPr>
        <w:t> </w:t>
      </w:r>
      <w:r>
        <w:rPr/>
        <w:t>in</w:t>
      </w:r>
      <w:r>
        <w:rPr>
          <w:spacing w:val="-16"/>
        </w:rPr>
        <w:t> </w:t>
      </w:r>
      <w:r>
        <w:rPr/>
        <w:t>the</w:t>
      </w:r>
      <w:r>
        <w:rPr>
          <w:spacing w:val="-16"/>
        </w:rPr>
        <w:t> </w:t>
      </w:r>
      <w:r>
        <w:rPr/>
        <w:t>home</w:t>
      </w:r>
      <w:r>
        <w:rPr>
          <w:spacing w:val="-16"/>
        </w:rPr>
        <w:t> </w:t>
      </w:r>
      <w:r>
        <w:rPr/>
        <w:t>(particularly</w:t>
      </w:r>
      <w:r>
        <w:rPr>
          <w:spacing w:val="-16"/>
        </w:rPr>
        <w:t> </w:t>
      </w:r>
      <w:r>
        <w:rPr/>
        <w:t>children)</w:t>
      </w:r>
      <w:r>
        <w:rPr>
          <w:spacing w:val="-16"/>
        </w:rPr>
        <w:t> </w:t>
      </w:r>
      <w:r>
        <w:rPr/>
        <w:t>was</w:t>
      </w:r>
      <w:r>
        <w:rPr>
          <w:spacing w:val="-16"/>
        </w:rPr>
        <w:t> </w:t>
      </w:r>
      <w:r>
        <w:rPr/>
        <w:t>a</w:t>
      </w:r>
      <w:r>
        <w:rPr>
          <w:spacing w:val="-16"/>
        </w:rPr>
        <w:t> </w:t>
      </w:r>
      <w:r>
        <w:rPr/>
        <w:t>definite catalyst for the consideration of removal, while moral obligations and a potential depreciation in property value encouraged a few to consider</w:t>
      </w:r>
      <w:r>
        <w:rPr>
          <w:spacing w:val="-30"/>
        </w:rPr>
        <w:t> </w:t>
      </w:r>
      <w:r>
        <w:rPr/>
        <w:t>removal.</w:t>
      </w:r>
    </w:p>
    <w:p>
      <w:pPr>
        <w:pStyle w:val="BodyText"/>
        <w:spacing w:line="283" w:lineRule="auto" w:before="139"/>
        <w:ind w:left="1700" w:right="45"/>
      </w:pPr>
      <w:r>
        <w:rPr/>
        <w:t>The conjoint analysis supports this finding. The analysis shows that awareness of health and safety risks associated with the removal, alteration and/or disturbance</w:t>
      </w:r>
      <w:r>
        <w:rPr>
          <w:spacing w:val="-17"/>
        </w:rPr>
        <w:t> </w:t>
      </w:r>
      <w:r>
        <w:rPr/>
        <w:t>of</w:t>
      </w:r>
      <w:r>
        <w:rPr>
          <w:spacing w:val="-17"/>
        </w:rPr>
        <w:t> </w:t>
      </w:r>
      <w:r>
        <w:rPr/>
        <w:t>asbestos</w:t>
      </w:r>
      <w:r>
        <w:rPr>
          <w:spacing w:val="-17"/>
        </w:rPr>
        <w:t> </w:t>
      </w:r>
      <w:r>
        <w:rPr/>
        <w:t>increases</w:t>
      </w:r>
      <w:r>
        <w:rPr>
          <w:spacing w:val="-17"/>
        </w:rPr>
        <w:t> </w:t>
      </w:r>
      <w:r>
        <w:rPr/>
        <w:t>the</w:t>
      </w:r>
      <w:r>
        <w:rPr>
          <w:spacing w:val="-17"/>
        </w:rPr>
        <w:t> </w:t>
      </w:r>
      <w:r>
        <w:rPr/>
        <w:t>likelihood</w:t>
      </w:r>
      <w:r>
        <w:rPr>
          <w:spacing w:val="-17"/>
        </w:rPr>
        <w:t> </w:t>
      </w:r>
      <w:r>
        <w:rPr/>
        <w:t>that</w:t>
      </w:r>
      <w:r>
        <w:rPr>
          <w:spacing w:val="-17"/>
        </w:rPr>
        <w:t> </w:t>
      </w:r>
      <w:r>
        <w:rPr/>
        <w:t>a</w:t>
      </w:r>
    </w:p>
    <w:p>
      <w:pPr>
        <w:pStyle w:val="BodyText"/>
        <w:spacing w:line="283" w:lineRule="auto" w:before="2"/>
        <w:ind w:left="1700" w:right="-6"/>
      </w:pPr>
      <w:r>
        <w:rPr/>
        <w:t>homeowner</w:t>
      </w:r>
      <w:r>
        <w:rPr>
          <w:spacing w:val="-26"/>
        </w:rPr>
        <w:t> </w:t>
      </w:r>
      <w:r>
        <w:rPr/>
        <w:t>will</w:t>
      </w:r>
      <w:r>
        <w:rPr>
          <w:spacing w:val="-26"/>
        </w:rPr>
        <w:t> </w:t>
      </w:r>
      <w:r>
        <w:rPr>
          <w:spacing w:val="-3"/>
        </w:rPr>
        <w:t>remove</w:t>
      </w:r>
      <w:r>
        <w:rPr>
          <w:spacing w:val="-26"/>
        </w:rPr>
        <w:t> </w:t>
      </w:r>
      <w:r>
        <w:rPr/>
        <w:t>asbestos</w:t>
      </w:r>
      <w:r>
        <w:rPr>
          <w:spacing w:val="-26"/>
        </w:rPr>
        <w:t> </w:t>
      </w:r>
      <w:r>
        <w:rPr>
          <w:spacing w:val="-3"/>
        </w:rPr>
        <w:t>immediately.</w:t>
      </w:r>
      <w:r>
        <w:rPr>
          <w:spacing w:val="-26"/>
        </w:rPr>
        <w:t> </w:t>
      </w:r>
      <w:r>
        <w:rPr>
          <w:spacing w:val="-3"/>
        </w:rPr>
        <w:t>However, </w:t>
      </w:r>
      <w:r>
        <w:rPr/>
        <w:t>this</w:t>
      </w:r>
      <w:r>
        <w:rPr>
          <w:spacing w:val="-15"/>
        </w:rPr>
        <w:t> </w:t>
      </w:r>
      <w:r>
        <w:rPr/>
        <w:t>effect</w:t>
      </w:r>
      <w:r>
        <w:rPr>
          <w:spacing w:val="-15"/>
        </w:rPr>
        <w:t> </w:t>
      </w:r>
      <w:r>
        <w:rPr/>
        <w:t>is</w:t>
      </w:r>
      <w:r>
        <w:rPr>
          <w:spacing w:val="-15"/>
        </w:rPr>
        <w:t> </w:t>
      </w:r>
      <w:r>
        <w:rPr/>
        <w:t>relatively</w:t>
      </w:r>
      <w:r>
        <w:rPr>
          <w:spacing w:val="-15"/>
        </w:rPr>
        <w:t> </w:t>
      </w:r>
      <w:r>
        <w:rPr/>
        <w:t>weak.</w:t>
      </w:r>
      <w:r>
        <w:rPr>
          <w:spacing w:val="-15"/>
        </w:rPr>
        <w:t> </w:t>
      </w:r>
      <w:r>
        <w:rPr/>
        <w:t>In</w:t>
      </w:r>
      <w:r>
        <w:rPr>
          <w:spacing w:val="-15"/>
        </w:rPr>
        <w:t> </w:t>
      </w:r>
      <w:r>
        <w:rPr/>
        <w:t>many</w:t>
      </w:r>
      <w:r>
        <w:rPr>
          <w:spacing w:val="-15"/>
        </w:rPr>
        <w:t> </w:t>
      </w:r>
      <w:r>
        <w:rPr/>
        <w:t>cases,</w:t>
      </w:r>
      <w:r>
        <w:rPr>
          <w:spacing w:val="-15"/>
        </w:rPr>
        <w:t> </w:t>
      </w:r>
      <w:r>
        <w:rPr/>
        <w:t>the</w:t>
      </w:r>
      <w:r>
        <w:rPr>
          <w:spacing w:val="-15"/>
        </w:rPr>
        <w:t> </w:t>
      </w:r>
      <w:r>
        <w:rPr/>
        <w:t>effect</w:t>
      </w:r>
      <w:r>
        <w:rPr>
          <w:spacing w:val="-15"/>
        </w:rPr>
        <w:t> </w:t>
      </w:r>
      <w:r>
        <w:rPr/>
        <w:t>of awareness is less than the effect of plans to renovate, underlining</w:t>
      </w:r>
      <w:r>
        <w:rPr>
          <w:spacing w:val="-18"/>
        </w:rPr>
        <w:t> </w:t>
      </w:r>
      <w:r>
        <w:rPr/>
        <w:t>the</w:t>
      </w:r>
      <w:r>
        <w:rPr>
          <w:spacing w:val="-18"/>
        </w:rPr>
        <w:t> </w:t>
      </w:r>
      <w:r>
        <w:rPr/>
        <w:t>importance</w:t>
      </w:r>
      <w:r>
        <w:rPr>
          <w:spacing w:val="-18"/>
        </w:rPr>
        <w:t> </w:t>
      </w:r>
      <w:r>
        <w:rPr/>
        <w:t>of</w:t>
      </w:r>
      <w:r>
        <w:rPr>
          <w:spacing w:val="-18"/>
        </w:rPr>
        <w:t> </w:t>
      </w:r>
      <w:r>
        <w:rPr/>
        <w:t>the</w:t>
      </w:r>
      <w:r>
        <w:rPr>
          <w:spacing w:val="-18"/>
        </w:rPr>
        <w:t> </w:t>
      </w:r>
      <w:r>
        <w:rPr/>
        <w:t>financial</w:t>
      </w:r>
      <w:r>
        <w:rPr>
          <w:spacing w:val="-18"/>
        </w:rPr>
        <w:t> </w:t>
      </w:r>
      <w:r>
        <w:rPr/>
        <w:t>and</w:t>
      </w:r>
      <w:r>
        <w:rPr>
          <w:spacing w:val="-18"/>
        </w:rPr>
        <w:t> </w:t>
      </w:r>
      <w:r>
        <w:rPr/>
        <w:t>planning context in removal decisions, in addition to knowledge of</w:t>
      </w:r>
      <w:r>
        <w:rPr>
          <w:spacing w:val="-6"/>
        </w:rPr>
        <w:t> </w:t>
      </w:r>
      <w:r>
        <w:rPr/>
        <w:t>the</w:t>
      </w:r>
      <w:r>
        <w:rPr>
          <w:spacing w:val="-6"/>
        </w:rPr>
        <w:t> </w:t>
      </w:r>
      <w:r>
        <w:rPr/>
        <w:t>potential</w:t>
      </w:r>
      <w:r>
        <w:rPr>
          <w:spacing w:val="-6"/>
        </w:rPr>
        <w:t> </w:t>
      </w:r>
      <w:r>
        <w:rPr/>
        <w:t>impacts</w:t>
      </w:r>
      <w:r>
        <w:rPr>
          <w:spacing w:val="-6"/>
        </w:rPr>
        <w:t> </w:t>
      </w:r>
      <w:r>
        <w:rPr/>
        <w:t>of</w:t>
      </w:r>
      <w:r>
        <w:rPr>
          <w:spacing w:val="-6"/>
        </w:rPr>
        <w:t> </w:t>
      </w:r>
      <w:r>
        <w:rPr/>
        <w:t>asbestos</w:t>
      </w:r>
      <w:r>
        <w:rPr>
          <w:spacing w:val="-6"/>
        </w:rPr>
        <w:t> </w:t>
      </w:r>
      <w:r>
        <w:rPr/>
        <w:t>exposure.</w:t>
      </w:r>
    </w:p>
    <w:p>
      <w:pPr>
        <w:pStyle w:val="BodyText"/>
        <w:spacing w:line="283" w:lineRule="auto" w:before="134"/>
        <w:ind w:left="1700"/>
      </w:pPr>
      <w:r>
        <w:rPr/>
        <w:t>This said, the conjoint analysis also shows that holding the belief that serious health impacts are probable where asbestos is present has a greater impact on likelihood</w:t>
      </w:r>
      <w:r>
        <w:rPr>
          <w:spacing w:val="-17"/>
        </w:rPr>
        <w:t> </w:t>
      </w:r>
      <w:r>
        <w:rPr>
          <w:spacing w:val="-3"/>
        </w:rPr>
        <w:t>to</w:t>
      </w:r>
      <w:r>
        <w:rPr>
          <w:spacing w:val="-17"/>
        </w:rPr>
        <w:t> </w:t>
      </w:r>
      <w:r>
        <w:rPr>
          <w:spacing w:val="-3"/>
        </w:rPr>
        <w:t>remove</w:t>
      </w:r>
      <w:r>
        <w:rPr>
          <w:spacing w:val="-17"/>
        </w:rPr>
        <w:t> </w:t>
      </w:r>
      <w:r>
        <w:rPr/>
        <w:t>asbestos</w:t>
      </w:r>
      <w:r>
        <w:rPr>
          <w:spacing w:val="-17"/>
        </w:rPr>
        <w:t> </w:t>
      </w:r>
      <w:r>
        <w:rPr>
          <w:spacing w:val="-4"/>
        </w:rPr>
        <w:t>(as</w:t>
      </w:r>
      <w:r>
        <w:rPr>
          <w:spacing w:val="-17"/>
        </w:rPr>
        <w:t> </w:t>
      </w:r>
      <w:r>
        <w:rPr/>
        <w:t>opposed</w:t>
      </w:r>
      <w:r>
        <w:rPr>
          <w:spacing w:val="-17"/>
        </w:rPr>
        <w:t> </w:t>
      </w:r>
      <w:r>
        <w:rPr>
          <w:spacing w:val="-3"/>
        </w:rPr>
        <w:t>to</w:t>
      </w:r>
      <w:r>
        <w:rPr>
          <w:spacing w:val="-17"/>
        </w:rPr>
        <w:t> </w:t>
      </w:r>
      <w:r>
        <w:rPr/>
        <w:t>knowledge of the potential impacts without a belief that the impacts</w:t>
      </w:r>
      <w:r>
        <w:rPr>
          <w:spacing w:val="-13"/>
        </w:rPr>
        <w:t> </w:t>
      </w:r>
      <w:r>
        <w:rPr/>
        <w:t>are</w:t>
      </w:r>
      <w:r>
        <w:rPr>
          <w:spacing w:val="-13"/>
        </w:rPr>
        <w:t> </w:t>
      </w:r>
      <w:r>
        <w:rPr/>
        <w:t>probable).</w:t>
      </w:r>
      <w:r>
        <w:rPr>
          <w:spacing w:val="-13"/>
        </w:rPr>
        <w:t> </w:t>
      </w:r>
      <w:r>
        <w:rPr/>
        <w:t>Participants</w:t>
      </w:r>
      <w:r>
        <w:rPr>
          <w:spacing w:val="-13"/>
        </w:rPr>
        <w:t> </w:t>
      </w:r>
      <w:r>
        <w:rPr/>
        <w:t>who</w:t>
      </w:r>
      <w:r>
        <w:rPr>
          <w:spacing w:val="-13"/>
        </w:rPr>
        <w:t> </w:t>
      </w:r>
      <w:r>
        <w:rPr/>
        <w:t>felt</w:t>
      </w:r>
      <w:r>
        <w:rPr>
          <w:spacing w:val="-13"/>
        </w:rPr>
        <w:t> </w:t>
      </w:r>
      <w:r>
        <w:rPr/>
        <w:t>that</w:t>
      </w:r>
      <w:r>
        <w:rPr>
          <w:spacing w:val="-13"/>
        </w:rPr>
        <w:t> </w:t>
      </w:r>
      <w:r>
        <w:rPr/>
        <w:t>it</w:t>
      </w:r>
      <w:r>
        <w:rPr>
          <w:spacing w:val="-13"/>
        </w:rPr>
        <w:t> </w:t>
      </w:r>
      <w:r>
        <w:rPr/>
        <w:t>was probable,</w:t>
      </w:r>
      <w:r>
        <w:rPr>
          <w:spacing w:val="-20"/>
        </w:rPr>
        <w:t> </w:t>
      </w:r>
      <w:r>
        <w:rPr/>
        <w:t>almost</w:t>
      </w:r>
      <w:r>
        <w:rPr>
          <w:spacing w:val="-20"/>
        </w:rPr>
        <w:t> </w:t>
      </w:r>
      <w:r>
        <w:rPr>
          <w:spacing w:val="-3"/>
        </w:rPr>
        <w:t>sure</w:t>
      </w:r>
      <w:r>
        <w:rPr>
          <w:spacing w:val="-20"/>
        </w:rPr>
        <w:t> </w:t>
      </w:r>
      <w:r>
        <w:rPr/>
        <w:t>or</w:t>
      </w:r>
      <w:r>
        <w:rPr>
          <w:spacing w:val="-20"/>
        </w:rPr>
        <w:t> </w:t>
      </w:r>
      <w:r>
        <w:rPr/>
        <w:t>certain</w:t>
      </w:r>
      <w:r>
        <w:rPr>
          <w:spacing w:val="-20"/>
        </w:rPr>
        <w:t> </w:t>
      </w:r>
      <w:r>
        <w:rPr>
          <w:spacing w:val="-3"/>
        </w:rPr>
        <w:t>that</w:t>
      </w:r>
      <w:r>
        <w:rPr>
          <w:spacing w:val="-20"/>
        </w:rPr>
        <w:t> </w:t>
      </w:r>
      <w:r>
        <w:rPr/>
        <w:t>they</w:t>
      </w:r>
      <w:r>
        <w:rPr>
          <w:spacing w:val="-20"/>
        </w:rPr>
        <w:t> </w:t>
      </w:r>
      <w:r>
        <w:rPr/>
        <w:t>or</w:t>
      </w:r>
      <w:r>
        <w:rPr>
          <w:spacing w:val="-20"/>
        </w:rPr>
        <w:t> </w:t>
      </w:r>
      <w:r>
        <w:rPr/>
        <w:t>members</w:t>
      </w:r>
      <w:r>
        <w:rPr>
          <w:spacing w:val="-20"/>
        </w:rPr>
        <w:t> </w:t>
      </w:r>
      <w:r>
        <w:rPr/>
        <w:t>of their</w:t>
      </w:r>
      <w:r>
        <w:rPr>
          <w:spacing w:val="-14"/>
        </w:rPr>
        <w:t> </w:t>
      </w:r>
      <w:r>
        <w:rPr/>
        <w:t>household</w:t>
      </w:r>
      <w:r>
        <w:rPr>
          <w:spacing w:val="-14"/>
        </w:rPr>
        <w:t> </w:t>
      </w:r>
      <w:r>
        <w:rPr>
          <w:spacing w:val="-3"/>
        </w:rPr>
        <w:t>could</w:t>
      </w:r>
      <w:r>
        <w:rPr>
          <w:spacing w:val="-14"/>
        </w:rPr>
        <w:t> </w:t>
      </w:r>
      <w:r>
        <w:rPr/>
        <w:t>develop</w:t>
      </w:r>
      <w:r>
        <w:rPr>
          <w:spacing w:val="-14"/>
        </w:rPr>
        <w:t> </w:t>
      </w:r>
      <w:r>
        <w:rPr/>
        <w:t>serious</w:t>
      </w:r>
      <w:r>
        <w:rPr>
          <w:spacing w:val="-14"/>
        </w:rPr>
        <w:t> </w:t>
      </w:r>
      <w:r>
        <w:rPr/>
        <w:t>or</w:t>
      </w:r>
      <w:r>
        <w:rPr>
          <w:spacing w:val="-14"/>
        </w:rPr>
        <w:t> </w:t>
      </w:r>
      <w:r>
        <w:rPr>
          <w:spacing w:val="-3"/>
        </w:rPr>
        <w:t>chronic</w:t>
      </w:r>
      <w:r>
        <w:rPr>
          <w:spacing w:val="-14"/>
        </w:rPr>
        <w:t> </w:t>
      </w:r>
      <w:r>
        <w:rPr>
          <w:spacing w:val="-3"/>
        </w:rPr>
        <w:t>health </w:t>
      </w:r>
      <w:r>
        <w:rPr/>
        <w:t>problems</w:t>
      </w:r>
      <w:r>
        <w:rPr>
          <w:spacing w:val="-22"/>
        </w:rPr>
        <w:t> </w:t>
      </w:r>
      <w:r>
        <w:rPr/>
        <w:t>if</w:t>
      </w:r>
      <w:r>
        <w:rPr>
          <w:spacing w:val="-22"/>
        </w:rPr>
        <w:t> </w:t>
      </w:r>
      <w:r>
        <w:rPr/>
        <w:t>there</w:t>
      </w:r>
      <w:r>
        <w:rPr>
          <w:spacing w:val="-22"/>
        </w:rPr>
        <w:t> </w:t>
      </w:r>
      <w:r>
        <w:rPr/>
        <w:t>was</w:t>
      </w:r>
      <w:r>
        <w:rPr>
          <w:spacing w:val="-22"/>
        </w:rPr>
        <w:t> </w:t>
      </w:r>
      <w:r>
        <w:rPr/>
        <w:t>asbestos</w:t>
      </w:r>
      <w:r>
        <w:rPr>
          <w:spacing w:val="-22"/>
        </w:rPr>
        <w:t> </w:t>
      </w:r>
      <w:r>
        <w:rPr/>
        <w:t>in</w:t>
      </w:r>
      <w:r>
        <w:rPr>
          <w:spacing w:val="-22"/>
        </w:rPr>
        <w:t> </w:t>
      </w:r>
      <w:r>
        <w:rPr/>
        <w:t>their</w:t>
      </w:r>
      <w:r>
        <w:rPr>
          <w:spacing w:val="-22"/>
        </w:rPr>
        <w:t> </w:t>
      </w:r>
      <w:r>
        <w:rPr/>
        <w:t>home,</w:t>
      </w:r>
      <w:r>
        <w:rPr>
          <w:spacing w:val="-22"/>
        </w:rPr>
        <w:t> </w:t>
      </w:r>
      <w:r>
        <w:rPr>
          <w:spacing w:val="-3"/>
        </w:rPr>
        <w:t>were</w:t>
      </w:r>
      <w:r>
        <w:rPr>
          <w:spacing w:val="-22"/>
        </w:rPr>
        <w:t> </w:t>
      </w:r>
      <w:r>
        <w:rPr/>
        <w:t>more likely</w:t>
      </w:r>
      <w:r>
        <w:rPr>
          <w:spacing w:val="-9"/>
        </w:rPr>
        <w:t> </w:t>
      </w:r>
      <w:r>
        <w:rPr/>
        <w:t>to</w:t>
      </w:r>
      <w:r>
        <w:rPr>
          <w:spacing w:val="-9"/>
        </w:rPr>
        <w:t> </w:t>
      </w:r>
      <w:r>
        <w:rPr/>
        <w:t>indicate</w:t>
      </w:r>
      <w:r>
        <w:rPr>
          <w:spacing w:val="-9"/>
        </w:rPr>
        <w:t> </w:t>
      </w:r>
      <w:r>
        <w:rPr/>
        <w:t>that</w:t>
      </w:r>
      <w:r>
        <w:rPr>
          <w:spacing w:val="-9"/>
        </w:rPr>
        <w:t> </w:t>
      </w:r>
      <w:r>
        <w:rPr/>
        <w:t>they</w:t>
      </w:r>
      <w:r>
        <w:rPr>
          <w:spacing w:val="-9"/>
        </w:rPr>
        <w:t> </w:t>
      </w:r>
      <w:r>
        <w:rPr/>
        <w:t>would</w:t>
      </w:r>
      <w:r>
        <w:rPr>
          <w:spacing w:val="-9"/>
        </w:rPr>
        <w:t> </w:t>
      </w:r>
      <w:r>
        <w:rPr/>
        <w:t>remove</w:t>
      </w:r>
      <w:r>
        <w:rPr>
          <w:spacing w:val="-9"/>
        </w:rPr>
        <w:t> </w:t>
      </w:r>
      <w:r>
        <w:rPr/>
        <w:t>asbestos.</w:t>
      </w:r>
    </w:p>
    <w:p>
      <w:pPr>
        <w:pStyle w:val="BodyText"/>
        <w:spacing w:before="101"/>
        <w:ind w:left="423"/>
      </w:pPr>
      <w:r>
        <w:rPr/>
        <w:br w:type="column"/>
      </w:r>
      <w:r>
        <w:rPr>
          <w:w w:val="105"/>
        </w:rPr>
        <w:t>Renovation plans</w:t>
      </w:r>
    </w:p>
    <w:p>
      <w:pPr>
        <w:pStyle w:val="BodyText"/>
        <w:spacing w:line="283" w:lineRule="auto" w:before="170"/>
        <w:ind w:left="423" w:right="1654"/>
      </w:pPr>
      <w:r>
        <w:rPr/>
        <w:t>The renovation planning context is important in decisions relating to asbestos removal.</w:t>
      </w:r>
    </w:p>
    <w:p>
      <w:pPr>
        <w:pStyle w:val="BodyText"/>
        <w:spacing w:line="283" w:lineRule="auto" w:before="131"/>
        <w:ind w:left="423" w:right="1654"/>
      </w:pPr>
      <w:r>
        <w:rPr/>
        <w:t>The conjoint analysis shows that those with plans to renovate are much more likely to remove asbestos immediately. When comparing homeowners with plans to renovate in the future against those who do not,</w:t>
      </w:r>
    </w:p>
    <w:p>
      <w:pPr>
        <w:pStyle w:val="BodyText"/>
        <w:spacing w:line="283" w:lineRule="auto" w:before="3"/>
        <w:ind w:left="423" w:right="1654"/>
      </w:pPr>
      <w:r>
        <w:rPr/>
        <w:t>we</w:t>
      </w:r>
      <w:r>
        <w:rPr>
          <w:spacing w:val="-18"/>
        </w:rPr>
        <w:t> </w:t>
      </w:r>
      <w:r>
        <w:rPr/>
        <w:t>find</w:t>
      </w:r>
      <w:r>
        <w:rPr>
          <w:spacing w:val="-18"/>
        </w:rPr>
        <w:t> </w:t>
      </w:r>
      <w:r>
        <w:rPr/>
        <w:t>that</w:t>
      </w:r>
      <w:r>
        <w:rPr>
          <w:spacing w:val="-18"/>
        </w:rPr>
        <w:t> </w:t>
      </w:r>
      <w:r>
        <w:rPr/>
        <w:t>intentions</w:t>
      </w:r>
      <w:r>
        <w:rPr>
          <w:spacing w:val="-18"/>
        </w:rPr>
        <w:t> </w:t>
      </w:r>
      <w:r>
        <w:rPr/>
        <w:t>to</w:t>
      </w:r>
      <w:r>
        <w:rPr>
          <w:spacing w:val="-18"/>
        </w:rPr>
        <w:t> </w:t>
      </w:r>
      <w:r>
        <w:rPr/>
        <w:t>renovate</w:t>
      </w:r>
      <w:r>
        <w:rPr>
          <w:spacing w:val="-18"/>
        </w:rPr>
        <w:t> </w:t>
      </w:r>
      <w:r>
        <w:rPr/>
        <w:t>greatly</w:t>
      </w:r>
      <w:r>
        <w:rPr>
          <w:spacing w:val="-18"/>
        </w:rPr>
        <w:t> </w:t>
      </w:r>
      <w:r>
        <w:rPr/>
        <w:t>increase</w:t>
      </w:r>
      <w:r>
        <w:rPr>
          <w:spacing w:val="-18"/>
        </w:rPr>
        <w:t> </w:t>
      </w:r>
      <w:r>
        <w:rPr/>
        <w:t>the likelihood to remove asbestos</w:t>
      </w:r>
      <w:r>
        <w:rPr>
          <w:spacing w:val="-24"/>
        </w:rPr>
        <w:t> </w:t>
      </w:r>
      <w:r>
        <w:rPr/>
        <w:t>immediately.</w:t>
      </w:r>
    </w:p>
    <w:p>
      <w:pPr>
        <w:pStyle w:val="BodyText"/>
        <w:spacing w:line="283" w:lineRule="auto" w:before="131"/>
        <w:ind w:left="423" w:right="1707"/>
      </w:pPr>
      <w:r>
        <w:rPr/>
        <w:t>During focus groups, some participants assumed that removal of asbestos would require the alternative living arrangements to be made. This inconvenience was noted as a barrier to removal. In this context, the inconvenience of living disruptions can be seen as a barrier</w:t>
      </w:r>
      <w:r>
        <w:rPr>
          <w:spacing w:val="-17"/>
        </w:rPr>
        <w:t> </w:t>
      </w:r>
      <w:r>
        <w:rPr/>
        <w:t>to</w:t>
      </w:r>
      <w:r>
        <w:rPr>
          <w:spacing w:val="-17"/>
        </w:rPr>
        <w:t> </w:t>
      </w:r>
      <w:r>
        <w:rPr/>
        <w:t>removal.</w:t>
      </w:r>
      <w:r>
        <w:rPr>
          <w:spacing w:val="-17"/>
        </w:rPr>
        <w:t> </w:t>
      </w:r>
      <w:r>
        <w:rPr/>
        <w:t>It</w:t>
      </w:r>
      <w:r>
        <w:rPr>
          <w:spacing w:val="-17"/>
        </w:rPr>
        <w:t> </w:t>
      </w:r>
      <w:r>
        <w:rPr/>
        <w:t>is</w:t>
      </w:r>
      <w:r>
        <w:rPr>
          <w:spacing w:val="-17"/>
        </w:rPr>
        <w:t> </w:t>
      </w:r>
      <w:r>
        <w:rPr/>
        <w:t>possible</w:t>
      </w:r>
      <w:r>
        <w:rPr>
          <w:spacing w:val="-17"/>
        </w:rPr>
        <w:t> </w:t>
      </w:r>
      <w:r>
        <w:rPr/>
        <w:t>that,</w:t>
      </w:r>
      <w:r>
        <w:rPr>
          <w:spacing w:val="-17"/>
        </w:rPr>
        <w:t> </w:t>
      </w:r>
      <w:r>
        <w:rPr/>
        <w:t>for</w:t>
      </w:r>
      <w:r>
        <w:rPr>
          <w:spacing w:val="-17"/>
        </w:rPr>
        <w:t> </w:t>
      </w:r>
      <w:r>
        <w:rPr/>
        <w:t>those</w:t>
      </w:r>
      <w:r>
        <w:rPr>
          <w:spacing w:val="-17"/>
        </w:rPr>
        <w:t> </w:t>
      </w:r>
      <w:r>
        <w:rPr/>
        <w:t>planning to</w:t>
      </w:r>
      <w:r>
        <w:rPr>
          <w:spacing w:val="-10"/>
        </w:rPr>
        <w:t> </w:t>
      </w:r>
      <w:r>
        <w:rPr/>
        <w:t>renovate,</w:t>
      </w:r>
      <w:r>
        <w:rPr>
          <w:spacing w:val="-10"/>
        </w:rPr>
        <w:t> </w:t>
      </w:r>
      <w:r>
        <w:rPr/>
        <w:t>the</w:t>
      </w:r>
      <w:r>
        <w:rPr>
          <w:spacing w:val="-10"/>
        </w:rPr>
        <w:t> </w:t>
      </w:r>
      <w:r>
        <w:rPr/>
        <w:t>existence</w:t>
      </w:r>
      <w:r>
        <w:rPr>
          <w:spacing w:val="-10"/>
        </w:rPr>
        <w:t> </w:t>
      </w:r>
      <w:r>
        <w:rPr/>
        <w:t>of</w:t>
      </w:r>
      <w:r>
        <w:rPr>
          <w:spacing w:val="-10"/>
        </w:rPr>
        <w:t> </w:t>
      </w:r>
      <w:r>
        <w:rPr/>
        <w:t>plans</w:t>
      </w:r>
      <w:r>
        <w:rPr>
          <w:spacing w:val="-10"/>
        </w:rPr>
        <w:t> </w:t>
      </w:r>
      <w:r>
        <w:rPr/>
        <w:t>may</w:t>
      </w:r>
      <w:r>
        <w:rPr>
          <w:spacing w:val="-10"/>
        </w:rPr>
        <w:t> </w:t>
      </w:r>
      <w:r>
        <w:rPr/>
        <w:t>mitigate</w:t>
      </w:r>
      <w:r>
        <w:rPr>
          <w:spacing w:val="-10"/>
        </w:rPr>
        <w:t> </w:t>
      </w:r>
      <w:r>
        <w:rPr/>
        <w:t>the</w:t>
      </w:r>
    </w:p>
    <w:p>
      <w:pPr>
        <w:pStyle w:val="BodyText"/>
        <w:spacing w:line="283" w:lineRule="auto" w:before="5"/>
        <w:ind w:left="423" w:right="1714"/>
        <w:jc w:val="both"/>
      </w:pPr>
      <w:r>
        <w:rPr/>
        <w:pict>
          <v:group style="position:absolute;margin-left:308.976013pt;margin-top:53.224434pt;width:286.3pt;height:104.2pt;mso-position-horizontal-relative:page;mso-position-vertical-relative:paragraph;z-index:1792" coordorigin="6180,1064" coordsize="5726,2084">
            <v:rect style="position:absolute;left:6179;top:1064;width:5726;height:2084" filled="true" fillcolor="#1c75bc" stroked="false">
              <v:fill opacity="9830f" type="solid"/>
            </v:rect>
            <v:shape style="position:absolute;left:6406;top:2174;width:114;height:176" type="#_x0000_t75" stroked="false">
              <v:imagedata r:id="rId13" o:title=""/>
            </v:shape>
            <v:shape style="position:absolute;left:6179;top:1064;width:5726;height:2084" type="#_x0000_t202" filled="false" stroked="false">
              <v:textbox inset="0,0,0,0">
                <w:txbxContent>
                  <w:p>
                    <w:pPr>
                      <w:spacing w:before="201"/>
                      <w:ind w:left="226" w:right="0" w:firstLine="0"/>
                      <w:jc w:val="left"/>
                      <w:rPr>
                        <w:rFonts w:ascii="Arial"/>
                        <w:sz w:val="28"/>
                      </w:rPr>
                    </w:pPr>
                    <w:r>
                      <w:rPr>
                        <w:rFonts w:ascii="Arial"/>
                        <w:w w:val="90"/>
                        <w:sz w:val="28"/>
                      </w:rPr>
                      <w:t>Conclusion</w:t>
                    </w:r>
                  </w:p>
                  <w:p>
                    <w:pPr>
                      <w:spacing w:before="159"/>
                      <w:ind w:left="226" w:right="0" w:firstLine="0"/>
                      <w:jc w:val="left"/>
                      <w:rPr>
                        <w:sz w:val="18"/>
                      </w:rPr>
                    </w:pPr>
                    <w:r>
                      <w:rPr>
                        <w:sz w:val="18"/>
                      </w:rPr>
                      <w:t>The findings above support the conclusion that:</w:t>
                    </w:r>
                  </w:p>
                  <w:p>
                    <w:pPr>
                      <w:spacing w:line="283" w:lineRule="auto" w:before="170"/>
                      <w:ind w:left="510" w:right="1679" w:firstLine="0"/>
                      <w:jc w:val="left"/>
                      <w:rPr>
                        <w:sz w:val="18"/>
                      </w:rPr>
                    </w:pPr>
                    <w:r>
                      <w:rPr>
                        <w:sz w:val="18"/>
                      </w:rPr>
                      <w:t>Renovators</w:t>
                    </w:r>
                    <w:r>
                      <w:rPr>
                        <w:spacing w:val="-19"/>
                        <w:sz w:val="18"/>
                      </w:rPr>
                      <w:t> </w:t>
                    </w:r>
                    <w:r>
                      <w:rPr>
                        <w:sz w:val="18"/>
                      </w:rPr>
                      <w:t>are</w:t>
                    </w:r>
                    <w:r>
                      <w:rPr>
                        <w:spacing w:val="-19"/>
                        <w:sz w:val="18"/>
                      </w:rPr>
                      <w:t> </w:t>
                    </w:r>
                    <w:r>
                      <w:rPr>
                        <w:sz w:val="18"/>
                      </w:rPr>
                      <w:t>more</w:t>
                    </w:r>
                    <w:r>
                      <w:rPr>
                        <w:spacing w:val="-19"/>
                        <w:sz w:val="18"/>
                      </w:rPr>
                      <w:t> </w:t>
                    </w:r>
                    <w:r>
                      <w:rPr>
                        <w:sz w:val="18"/>
                      </w:rPr>
                      <w:t>likely</w:t>
                    </w:r>
                    <w:r>
                      <w:rPr>
                        <w:spacing w:val="-19"/>
                        <w:sz w:val="18"/>
                      </w:rPr>
                      <w:t> </w:t>
                    </w:r>
                    <w:r>
                      <w:rPr>
                        <w:sz w:val="18"/>
                      </w:rPr>
                      <w:t>than</w:t>
                    </w:r>
                    <w:r>
                      <w:rPr>
                        <w:spacing w:val="-19"/>
                        <w:sz w:val="18"/>
                      </w:rPr>
                      <w:t> </w:t>
                    </w:r>
                    <w:r>
                      <w:rPr>
                        <w:sz w:val="18"/>
                      </w:rPr>
                      <w:t>others</w:t>
                    </w:r>
                    <w:r>
                      <w:rPr>
                        <w:spacing w:val="-19"/>
                        <w:sz w:val="18"/>
                      </w:rPr>
                      <w:t> </w:t>
                    </w:r>
                    <w:r>
                      <w:rPr>
                        <w:sz w:val="18"/>
                      </w:rPr>
                      <w:t>to</w:t>
                    </w:r>
                    <w:r>
                      <w:rPr>
                        <w:spacing w:val="-19"/>
                        <w:sz w:val="18"/>
                      </w:rPr>
                      <w:t> </w:t>
                    </w:r>
                    <w:r>
                      <w:rPr>
                        <w:sz w:val="18"/>
                      </w:rPr>
                      <w:t>remove asbestos, but are limited in their information- seeking</w:t>
                    </w:r>
                    <w:r>
                      <w:rPr>
                        <w:spacing w:val="-3"/>
                        <w:sz w:val="18"/>
                      </w:rPr>
                      <w:t> </w:t>
                    </w:r>
                    <w:r>
                      <w:rPr>
                        <w:sz w:val="18"/>
                      </w:rPr>
                      <w:t>behaviours</w:t>
                    </w:r>
                  </w:p>
                </w:txbxContent>
              </v:textbox>
              <w10:wrap type="none"/>
            </v:shape>
            <w10:wrap type="none"/>
          </v:group>
        </w:pict>
      </w:r>
      <w:r>
        <w:rPr/>
        <w:t>inconvenience</w:t>
      </w:r>
      <w:r>
        <w:rPr>
          <w:spacing w:val="-20"/>
        </w:rPr>
        <w:t> </w:t>
      </w:r>
      <w:r>
        <w:rPr/>
        <w:t>barrier.</w:t>
      </w:r>
      <w:r>
        <w:rPr>
          <w:spacing w:val="-20"/>
        </w:rPr>
        <w:t> </w:t>
      </w:r>
      <w:r>
        <w:rPr/>
        <w:t>This</w:t>
      </w:r>
      <w:r>
        <w:rPr>
          <w:spacing w:val="-20"/>
        </w:rPr>
        <w:t> </w:t>
      </w:r>
      <w:r>
        <w:rPr/>
        <w:t>is</w:t>
      </w:r>
      <w:r>
        <w:rPr>
          <w:spacing w:val="-20"/>
        </w:rPr>
        <w:t> </w:t>
      </w:r>
      <w:r>
        <w:rPr/>
        <w:t>because</w:t>
      </w:r>
      <w:r>
        <w:rPr>
          <w:spacing w:val="-20"/>
        </w:rPr>
        <w:t> </w:t>
      </w:r>
      <w:r>
        <w:rPr/>
        <w:t>disruptions</w:t>
      </w:r>
      <w:r>
        <w:rPr>
          <w:spacing w:val="-20"/>
        </w:rPr>
        <w:t> </w:t>
      </w:r>
      <w:r>
        <w:rPr/>
        <w:t>linked to</w:t>
      </w:r>
      <w:r>
        <w:rPr>
          <w:spacing w:val="-13"/>
        </w:rPr>
        <w:t> </w:t>
      </w:r>
      <w:r>
        <w:rPr/>
        <w:t>renovations</w:t>
      </w:r>
      <w:r>
        <w:rPr>
          <w:spacing w:val="-13"/>
        </w:rPr>
        <w:t> </w:t>
      </w:r>
      <w:r>
        <w:rPr/>
        <w:t>are</w:t>
      </w:r>
      <w:r>
        <w:rPr>
          <w:spacing w:val="-13"/>
        </w:rPr>
        <w:t> </w:t>
      </w:r>
      <w:r>
        <w:rPr/>
        <w:t>planned</w:t>
      </w:r>
      <w:r>
        <w:rPr>
          <w:spacing w:val="-13"/>
        </w:rPr>
        <w:t> </w:t>
      </w:r>
      <w:r>
        <w:rPr/>
        <w:t>for</w:t>
      </w:r>
      <w:r>
        <w:rPr>
          <w:spacing w:val="-13"/>
        </w:rPr>
        <w:t> </w:t>
      </w:r>
      <w:r>
        <w:rPr/>
        <w:t>in</w:t>
      </w:r>
      <w:r>
        <w:rPr>
          <w:spacing w:val="-13"/>
        </w:rPr>
        <w:t> </w:t>
      </w:r>
      <w:r>
        <w:rPr/>
        <w:t>advance,</w:t>
      </w:r>
      <w:r>
        <w:rPr>
          <w:spacing w:val="-13"/>
        </w:rPr>
        <w:t> </w:t>
      </w:r>
      <w:r>
        <w:rPr/>
        <w:t>and</w:t>
      </w:r>
      <w:r>
        <w:rPr>
          <w:spacing w:val="-13"/>
        </w:rPr>
        <w:t> </w:t>
      </w:r>
      <w:r>
        <w:rPr/>
        <w:t>have</w:t>
      </w:r>
      <w:r>
        <w:rPr>
          <w:spacing w:val="-13"/>
        </w:rPr>
        <w:t> </w:t>
      </w:r>
      <w:r>
        <w:rPr/>
        <w:t>the positive</w:t>
      </w:r>
      <w:r>
        <w:rPr>
          <w:spacing w:val="-6"/>
        </w:rPr>
        <w:t> </w:t>
      </w:r>
      <w:r>
        <w:rPr/>
        <w:t>benefit</w:t>
      </w:r>
      <w:r>
        <w:rPr>
          <w:spacing w:val="-6"/>
        </w:rPr>
        <w:t> </w:t>
      </w:r>
      <w:r>
        <w:rPr/>
        <w:t>of</w:t>
      </w:r>
      <w:r>
        <w:rPr>
          <w:spacing w:val="-6"/>
        </w:rPr>
        <w:t> </w:t>
      </w:r>
      <w:r>
        <w:rPr/>
        <w:t>a</w:t>
      </w:r>
      <w:r>
        <w:rPr>
          <w:spacing w:val="-6"/>
        </w:rPr>
        <w:t> </w:t>
      </w:r>
      <w:r>
        <w:rPr/>
        <w:t>rejuvenated</w:t>
      </w:r>
      <w:r>
        <w:rPr>
          <w:spacing w:val="-6"/>
        </w:rPr>
        <w:t> </w:t>
      </w:r>
      <w:r>
        <w:rPr/>
        <w:t>living</w:t>
      </w:r>
      <w:r>
        <w:rPr>
          <w:spacing w:val="-6"/>
        </w:rPr>
        <w:t> </w:t>
      </w:r>
      <w:r>
        <w:rPr/>
        <w:t>space.</w:t>
      </w:r>
    </w:p>
    <w:p>
      <w:pPr>
        <w:spacing w:after="0" w:line="283" w:lineRule="auto"/>
        <w:jc w:val="both"/>
        <w:sectPr>
          <w:type w:val="continuous"/>
          <w:pgSz w:w="11910" w:h="16840"/>
          <w:pgMar w:top="1580" w:bottom="280" w:left="0" w:right="0"/>
          <w:cols w:num="2" w:equalWidth="0">
            <w:col w:w="5717" w:space="40"/>
            <w:col w:w="6153"/>
          </w:cols>
        </w:sectPr>
      </w:pPr>
    </w:p>
    <w:p>
      <w:pPr>
        <w:pStyle w:val="BodyText"/>
        <w:spacing w:before="9"/>
        <w:rPr>
          <w:sz w:val="12"/>
        </w:rPr>
      </w:pPr>
    </w:p>
    <w:p>
      <w:pPr>
        <w:pStyle w:val="BodyText"/>
        <w:rPr>
          <w:sz w:val="20"/>
        </w:rPr>
      </w:pPr>
      <w:r>
        <w:rPr>
          <w:sz w:val="20"/>
        </w:rPr>
        <w:pict>
          <v:group style="width:286.3pt;height:141.050pt;mso-position-horizontal-relative:char;mso-position-vertical-relative:line" coordorigin="0,0" coordsize="5726,2821">
            <v:rect style="position:absolute;left:0;top:0;width:5726;height:2821" filled="true" fillcolor="#1c75bc" stroked="false">
              <v:fill opacity="9830f" type="solid"/>
            </v:rect>
            <v:shape style="position:absolute;left:1700;top:1110;width:114;height:176" type="#_x0000_t75" stroked="false">
              <v:imagedata r:id="rId13" o:title=""/>
            </v:shape>
            <v:shape style="position:absolute;left:1700;top:2020;width:114;height:176" type="#_x0000_t75" stroked="false">
              <v:imagedata r:id="rId13" o:title=""/>
            </v:shape>
            <v:shape style="position:absolute;left:0;top:0;width:5726;height:2821" type="#_x0000_t202" filled="false" stroked="false">
              <v:textbox inset="0,0,0,0">
                <w:txbxContent>
                  <w:p>
                    <w:pPr>
                      <w:spacing w:before="201"/>
                      <w:ind w:left="1700" w:right="0" w:firstLine="0"/>
                      <w:jc w:val="left"/>
                      <w:rPr>
                        <w:rFonts w:ascii="Arial"/>
                        <w:sz w:val="28"/>
                      </w:rPr>
                    </w:pPr>
                    <w:r>
                      <w:rPr>
                        <w:rFonts w:ascii="Arial"/>
                        <w:sz w:val="28"/>
                      </w:rPr>
                      <w:t>Conclusions</w:t>
                    </w:r>
                  </w:p>
                  <w:p>
                    <w:pPr>
                      <w:spacing w:before="159"/>
                      <w:ind w:left="1984" w:right="0" w:hanging="284"/>
                      <w:jc w:val="left"/>
                      <w:rPr>
                        <w:sz w:val="18"/>
                      </w:rPr>
                    </w:pPr>
                    <w:r>
                      <w:rPr>
                        <w:sz w:val="18"/>
                      </w:rPr>
                      <w:t>The findings above support the conclusions that:</w:t>
                    </w:r>
                  </w:p>
                  <w:p>
                    <w:pPr>
                      <w:spacing w:line="283" w:lineRule="auto" w:before="170"/>
                      <w:ind w:left="1984" w:right="519" w:firstLine="0"/>
                      <w:jc w:val="left"/>
                      <w:rPr>
                        <w:sz w:val="18"/>
                      </w:rPr>
                    </w:pPr>
                    <w:r>
                      <w:rPr>
                        <w:sz w:val="18"/>
                      </w:rPr>
                      <w:t>Low</w:t>
                    </w:r>
                    <w:r>
                      <w:rPr>
                        <w:spacing w:val="-15"/>
                        <w:sz w:val="18"/>
                      </w:rPr>
                      <w:t> </w:t>
                    </w:r>
                    <w:r>
                      <w:rPr>
                        <w:sz w:val="18"/>
                      </w:rPr>
                      <w:t>levels</w:t>
                    </w:r>
                    <w:r>
                      <w:rPr>
                        <w:spacing w:val="-15"/>
                        <w:sz w:val="18"/>
                      </w:rPr>
                      <w:t> </w:t>
                    </w:r>
                    <w:r>
                      <w:rPr>
                        <w:sz w:val="18"/>
                      </w:rPr>
                      <w:t>of</w:t>
                    </w:r>
                    <w:r>
                      <w:rPr>
                        <w:spacing w:val="-15"/>
                        <w:sz w:val="18"/>
                      </w:rPr>
                      <w:t> </w:t>
                    </w:r>
                    <w:r>
                      <w:rPr>
                        <w:sz w:val="18"/>
                      </w:rPr>
                      <w:t>risk</w:t>
                    </w:r>
                    <w:r>
                      <w:rPr>
                        <w:spacing w:val="-15"/>
                        <w:sz w:val="18"/>
                      </w:rPr>
                      <w:t> </w:t>
                    </w:r>
                    <w:r>
                      <w:rPr>
                        <w:sz w:val="18"/>
                      </w:rPr>
                      <w:t>literacy</w:t>
                    </w:r>
                    <w:r>
                      <w:rPr>
                        <w:spacing w:val="-15"/>
                        <w:sz w:val="18"/>
                      </w:rPr>
                      <w:t> </w:t>
                    </w:r>
                    <w:r>
                      <w:rPr>
                        <w:sz w:val="18"/>
                      </w:rPr>
                      <w:t>relating</w:t>
                    </w:r>
                    <w:r>
                      <w:rPr>
                        <w:spacing w:val="-15"/>
                        <w:sz w:val="18"/>
                      </w:rPr>
                      <w:t> </w:t>
                    </w:r>
                    <w:r>
                      <w:rPr>
                        <w:sz w:val="18"/>
                      </w:rPr>
                      <w:t>to</w:t>
                    </w:r>
                    <w:r>
                      <w:rPr>
                        <w:spacing w:val="-15"/>
                        <w:sz w:val="18"/>
                      </w:rPr>
                      <w:t> </w:t>
                    </w:r>
                    <w:r>
                      <w:rPr>
                        <w:sz w:val="18"/>
                      </w:rPr>
                      <w:t>products containing asbestos is a barrier to informed decision-making</w:t>
                    </w:r>
                  </w:p>
                  <w:p>
                    <w:pPr>
                      <w:spacing w:line="283" w:lineRule="auto" w:before="133"/>
                      <w:ind w:left="1984" w:right="354" w:firstLine="0"/>
                      <w:jc w:val="left"/>
                      <w:rPr>
                        <w:sz w:val="18"/>
                      </w:rPr>
                    </w:pPr>
                    <w:r>
                      <w:rPr>
                        <w:sz w:val="18"/>
                      </w:rPr>
                      <w:t>Perceived likelihood of health impacts is associated with likelihood to remove asbestos</w:t>
                    </w:r>
                  </w:p>
                </w:txbxContent>
              </v:textbox>
              <w10:wrap type="none"/>
            </v:shape>
          </v:group>
        </w:pict>
      </w:r>
      <w:r>
        <w:rPr>
          <w:sz w:val="20"/>
        </w:rPr>
      </w:r>
    </w:p>
    <w:p>
      <w:pPr>
        <w:spacing w:after="0"/>
        <w:rPr>
          <w:sz w:val="20"/>
        </w:rPr>
        <w:sectPr>
          <w:type w:val="continuous"/>
          <w:pgSz w:w="11910" w:h="16840"/>
          <w:pgMar w:top="1580" w:bottom="280" w:left="0" w:right="0"/>
        </w:sectPr>
      </w:pPr>
    </w:p>
    <w:p>
      <w:pPr>
        <w:pStyle w:val="Heading1"/>
      </w:pPr>
      <w:r>
        <w:rPr/>
        <w:pict>
          <v:rect style="position:absolute;margin-left:0pt;margin-top:58.181812pt;width:595.276pt;height:7.387974pt;mso-position-horizontal-relative:page;mso-position-vertical-relative:paragraph;z-index:1864" filled="true" fillcolor="#000000" stroked="false">
            <v:fill opacity="49152f" type="solid"/>
            <w10:wrap type="none"/>
          </v:rect>
        </w:pict>
      </w:r>
      <w:r>
        <w:rPr/>
        <w:pict>
          <v:shape style="position:absolute;margin-left:56.693401pt;margin-top:.071813pt;width:21.95pt;height:38.35pt;mso-position-horizontal-relative:page;mso-position-vertical-relative:paragraph;z-index:1888" coordorigin="1134,1" coordsize="439,767" path="m1189,1l1135,56,1463,384,1134,713,1189,768,1572,384,1189,1xe" filled="true" fillcolor="#d71920" stroked="false">
            <v:path arrowok="t"/>
            <v:fill type="solid"/>
            <w10:wrap type="none"/>
          </v:shape>
        </w:pict>
      </w:r>
      <w:r>
        <w:rPr>
          <w:color w:val="1C75BC"/>
          <w:w w:val="80"/>
        </w:rPr>
        <w:t>BARRIERS TO REMOVAL AND DISPOSAL</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26"/>
        </w:rPr>
      </w:pPr>
    </w:p>
    <w:p>
      <w:pPr>
        <w:spacing w:after="0"/>
        <w:rPr>
          <w:rFonts w:ascii="Arial"/>
          <w:sz w:val="26"/>
        </w:rPr>
        <w:sectPr>
          <w:pgSz w:w="11910" w:h="16840"/>
          <w:pgMar w:top="1540" w:bottom="280" w:left="0" w:right="0"/>
        </w:sectPr>
      </w:pPr>
    </w:p>
    <w:p>
      <w:pPr>
        <w:pStyle w:val="BodyText"/>
        <w:spacing w:line="283" w:lineRule="auto" w:before="100"/>
        <w:ind w:left="1700" w:right="18"/>
      </w:pPr>
      <w:r>
        <w:rPr/>
        <w:t>Although health risks posed by exposure to asbestos were</w:t>
      </w:r>
      <w:r>
        <w:rPr>
          <w:spacing w:val="-10"/>
        </w:rPr>
        <w:t> </w:t>
      </w:r>
      <w:r>
        <w:rPr/>
        <w:t>viewed</w:t>
      </w:r>
      <w:r>
        <w:rPr>
          <w:spacing w:val="-10"/>
        </w:rPr>
        <w:t> </w:t>
      </w:r>
      <w:r>
        <w:rPr/>
        <w:t>universally</w:t>
      </w:r>
      <w:r>
        <w:rPr>
          <w:spacing w:val="-10"/>
        </w:rPr>
        <w:t> </w:t>
      </w:r>
      <w:r>
        <w:rPr/>
        <w:t>as</w:t>
      </w:r>
      <w:r>
        <w:rPr>
          <w:spacing w:val="-10"/>
        </w:rPr>
        <w:t> </w:t>
      </w:r>
      <w:r>
        <w:rPr/>
        <w:t>the</w:t>
      </w:r>
      <w:r>
        <w:rPr>
          <w:spacing w:val="-10"/>
        </w:rPr>
        <w:t> </w:t>
      </w:r>
      <w:r>
        <w:rPr/>
        <w:t>chief</w:t>
      </w:r>
      <w:r>
        <w:rPr>
          <w:spacing w:val="-10"/>
        </w:rPr>
        <w:t> </w:t>
      </w:r>
      <w:r>
        <w:rPr/>
        <w:t>driver</w:t>
      </w:r>
      <w:r>
        <w:rPr>
          <w:spacing w:val="-10"/>
        </w:rPr>
        <w:t> </w:t>
      </w:r>
      <w:r>
        <w:rPr/>
        <w:t>of</w:t>
      </w:r>
      <w:r>
        <w:rPr>
          <w:spacing w:val="-10"/>
        </w:rPr>
        <w:t> </w:t>
      </w:r>
      <w:r>
        <w:rPr/>
        <w:t>removal</w:t>
      </w:r>
      <w:r>
        <w:rPr>
          <w:spacing w:val="-10"/>
        </w:rPr>
        <w:t> </w:t>
      </w:r>
      <w:r>
        <w:rPr/>
        <w:t>in focus group discussions, health risks alone were often insufficient</w:t>
      </w:r>
      <w:r>
        <w:rPr>
          <w:spacing w:val="-9"/>
        </w:rPr>
        <w:t> </w:t>
      </w:r>
      <w:r>
        <w:rPr/>
        <w:t>to</w:t>
      </w:r>
      <w:r>
        <w:rPr>
          <w:spacing w:val="-9"/>
        </w:rPr>
        <w:t> </w:t>
      </w:r>
      <w:r>
        <w:rPr/>
        <w:t>prompt</w:t>
      </w:r>
      <w:r>
        <w:rPr>
          <w:spacing w:val="-9"/>
        </w:rPr>
        <w:t> </w:t>
      </w:r>
      <w:r>
        <w:rPr/>
        <w:t>removal</w:t>
      </w:r>
      <w:r>
        <w:rPr>
          <w:spacing w:val="-9"/>
        </w:rPr>
        <w:t> </w:t>
      </w:r>
      <w:r>
        <w:rPr/>
        <w:t>and</w:t>
      </w:r>
      <w:r>
        <w:rPr>
          <w:spacing w:val="-9"/>
        </w:rPr>
        <w:t> </w:t>
      </w:r>
      <w:r>
        <w:rPr/>
        <w:t>disposal.</w:t>
      </w:r>
      <w:r>
        <w:rPr>
          <w:spacing w:val="-9"/>
        </w:rPr>
        <w:t> </w:t>
      </w:r>
      <w:r>
        <w:rPr/>
        <w:t>Indeed,</w:t>
      </w:r>
      <w:r>
        <w:rPr>
          <w:spacing w:val="-9"/>
        </w:rPr>
        <w:t> </w:t>
      </w:r>
      <w:r>
        <w:rPr/>
        <w:t>the conjoint analysis shows that, even in the best scenario </w:t>
      </w:r>
      <w:r>
        <w:rPr>
          <w:spacing w:val="-3"/>
        </w:rPr>
        <w:t>(a </w:t>
      </w:r>
      <w:r>
        <w:rPr/>
        <w:t>small volume of asbestos in the bathroom with free disposal), only </w:t>
      </w:r>
      <w:r>
        <w:rPr>
          <w:spacing w:val="-3"/>
        </w:rPr>
        <w:t>43% </w:t>
      </w:r>
      <w:r>
        <w:rPr/>
        <w:t>of homeowners would remove the asbestos</w:t>
      </w:r>
      <w:r>
        <w:rPr>
          <w:spacing w:val="-1"/>
        </w:rPr>
        <w:t> </w:t>
      </w:r>
      <w:r>
        <w:rPr/>
        <w:t>immediately.</w:t>
      </w:r>
    </w:p>
    <w:p>
      <w:pPr>
        <w:pStyle w:val="BodyText"/>
        <w:spacing w:line="283" w:lineRule="auto" w:before="136"/>
        <w:ind w:left="1700" w:right="833"/>
      </w:pPr>
      <w:r>
        <w:rPr/>
        <w:t>Barriers identified during the qualitative and quantitative phases are outlined below.</w:t>
      </w:r>
    </w:p>
    <w:p>
      <w:pPr>
        <w:pStyle w:val="Heading2"/>
        <w:spacing w:before="100"/>
      </w:pPr>
      <w:r>
        <w:rPr>
          <w:w w:val="85"/>
        </w:rPr>
        <w:t>Cost</w:t>
      </w:r>
    </w:p>
    <w:p>
      <w:pPr>
        <w:pStyle w:val="BodyText"/>
        <w:spacing w:line="283" w:lineRule="auto" w:before="160"/>
        <w:ind w:left="1700"/>
      </w:pPr>
      <w:r>
        <w:rPr/>
        <w:t>Cost</w:t>
      </w:r>
      <w:r>
        <w:rPr>
          <w:spacing w:val="-15"/>
        </w:rPr>
        <w:t> </w:t>
      </w:r>
      <w:r>
        <w:rPr/>
        <w:t>was,</w:t>
      </w:r>
      <w:r>
        <w:rPr>
          <w:spacing w:val="-15"/>
        </w:rPr>
        <w:t> </w:t>
      </w:r>
      <w:r>
        <w:rPr/>
        <w:t>unquestionably,</w:t>
      </w:r>
      <w:r>
        <w:rPr>
          <w:spacing w:val="-15"/>
        </w:rPr>
        <w:t> </w:t>
      </w:r>
      <w:r>
        <w:rPr/>
        <w:t>the</w:t>
      </w:r>
      <w:r>
        <w:rPr>
          <w:spacing w:val="-15"/>
        </w:rPr>
        <w:t> </w:t>
      </w:r>
      <w:r>
        <w:rPr/>
        <w:t>primary</w:t>
      </w:r>
      <w:r>
        <w:rPr>
          <w:spacing w:val="-15"/>
        </w:rPr>
        <w:t> </w:t>
      </w:r>
      <w:r>
        <w:rPr/>
        <w:t>barrier</w:t>
      </w:r>
      <w:r>
        <w:rPr>
          <w:spacing w:val="-15"/>
        </w:rPr>
        <w:t> </w:t>
      </w:r>
      <w:r>
        <w:rPr/>
        <w:t>to</w:t>
      </w:r>
      <w:r>
        <w:rPr>
          <w:spacing w:val="-15"/>
        </w:rPr>
        <w:t> </w:t>
      </w:r>
      <w:r>
        <w:rPr/>
        <w:t>removal expressed by homeowners during focus groups. Most saw the cost of removal as being highly expensive, explaining that costs extended beyond simply removal and disposal; costs would also include</w:t>
      </w:r>
      <w:r>
        <w:rPr>
          <w:spacing w:val="-18"/>
        </w:rPr>
        <w:t> </w:t>
      </w:r>
      <w:r>
        <w:rPr/>
        <w:t>replacement</w:t>
      </w:r>
    </w:p>
    <w:p>
      <w:pPr>
        <w:pStyle w:val="BodyText"/>
        <w:spacing w:line="283" w:lineRule="auto" w:before="3"/>
        <w:ind w:left="1700" w:right="197"/>
      </w:pPr>
      <w:r>
        <w:rPr/>
        <w:t>of materials and potentially additional unforeseeable expenditures. Unsurprisingly, homeowners had competing financial priorities, and most accepted that given the apparent lack of urgency surrounding asbestos removal, it was not a main concern.</w:t>
      </w:r>
    </w:p>
    <w:p>
      <w:pPr>
        <w:pStyle w:val="BodyText"/>
        <w:spacing w:line="283" w:lineRule="auto" w:before="133"/>
        <w:ind w:left="1700" w:right="339"/>
      </w:pPr>
      <w:r>
        <w:rPr/>
        <w:t>The conjoint analysis, as noted earlier, reinforces the finding that cost is the main barrier to removal.</w:t>
      </w:r>
    </w:p>
    <w:p>
      <w:pPr>
        <w:pStyle w:val="BodyText"/>
        <w:spacing w:line="283" w:lineRule="auto" w:before="1"/>
        <w:ind w:left="1700" w:right="18"/>
      </w:pPr>
      <w:r>
        <w:rPr/>
        <w:t>As noted earlier, size/price is a key determinant of likelihood to remove asbestos, and most of the top 20 combinations</w:t>
      </w:r>
      <w:r>
        <w:rPr>
          <w:spacing w:val="-12"/>
        </w:rPr>
        <w:t> </w:t>
      </w:r>
      <w:r>
        <w:rPr/>
        <w:t>include</w:t>
      </w:r>
      <w:r>
        <w:rPr>
          <w:spacing w:val="-12"/>
        </w:rPr>
        <w:t> </w:t>
      </w:r>
      <w:r>
        <w:rPr/>
        <w:t>the</w:t>
      </w:r>
      <w:r>
        <w:rPr>
          <w:spacing w:val="-12"/>
        </w:rPr>
        <w:t> </w:t>
      </w:r>
      <w:r>
        <w:rPr/>
        <w:t>lower-priced/smaller</w:t>
      </w:r>
      <w:r>
        <w:rPr>
          <w:spacing w:val="-12"/>
        </w:rPr>
        <w:t> </w:t>
      </w:r>
      <w:r>
        <w:rPr/>
        <w:t>options. Government initiatives which reduce the homeowner’s cost</w:t>
      </w:r>
      <w:r>
        <w:rPr>
          <w:spacing w:val="-12"/>
        </w:rPr>
        <w:t> </w:t>
      </w:r>
      <w:r>
        <w:rPr/>
        <w:t>further</w:t>
      </w:r>
      <w:r>
        <w:rPr>
          <w:spacing w:val="-12"/>
        </w:rPr>
        <w:t> </w:t>
      </w:r>
      <w:r>
        <w:rPr/>
        <w:t>(e.g.</w:t>
      </w:r>
      <w:r>
        <w:rPr>
          <w:spacing w:val="-12"/>
        </w:rPr>
        <w:t> </w:t>
      </w:r>
      <w:r>
        <w:rPr/>
        <w:t>the</w:t>
      </w:r>
      <w:r>
        <w:rPr>
          <w:spacing w:val="-12"/>
        </w:rPr>
        <w:t> </w:t>
      </w:r>
      <w:r>
        <w:rPr/>
        <w:t>provision</w:t>
      </w:r>
      <w:r>
        <w:rPr>
          <w:spacing w:val="-12"/>
        </w:rPr>
        <w:t> </w:t>
      </w:r>
      <w:r>
        <w:rPr/>
        <w:t>of</w:t>
      </w:r>
      <w:r>
        <w:rPr>
          <w:spacing w:val="-12"/>
        </w:rPr>
        <w:t> </w:t>
      </w:r>
      <w:r>
        <w:rPr/>
        <w:t>free</w:t>
      </w:r>
      <w:r>
        <w:rPr>
          <w:spacing w:val="-12"/>
        </w:rPr>
        <w:t> </w:t>
      </w:r>
      <w:r>
        <w:rPr/>
        <w:t>disposal,</w:t>
      </w:r>
      <w:r>
        <w:rPr>
          <w:spacing w:val="-12"/>
        </w:rPr>
        <w:t> </w:t>
      </w:r>
      <w:r>
        <w:rPr/>
        <w:t>a</w:t>
      </w:r>
      <w:r>
        <w:rPr>
          <w:spacing w:val="-12"/>
        </w:rPr>
        <w:t> </w:t>
      </w:r>
      <w:r>
        <w:rPr/>
        <w:t>subsidy on removal fees or a tax concession) also consistently increase the proportion choosing to remove</w:t>
      </w:r>
      <w:r>
        <w:rPr>
          <w:spacing w:val="-25"/>
        </w:rPr>
        <w:t> </w:t>
      </w:r>
      <w:r>
        <w:rPr/>
        <w:t>asbestos.</w:t>
      </w:r>
    </w:p>
    <w:p>
      <w:pPr>
        <w:pStyle w:val="Heading2"/>
        <w:spacing w:before="105"/>
      </w:pPr>
      <w:r>
        <w:rPr>
          <w:w w:val="90"/>
        </w:rPr>
        <w:t>Income</w:t>
      </w:r>
    </w:p>
    <w:p>
      <w:pPr>
        <w:pStyle w:val="BodyText"/>
        <w:spacing w:line="283" w:lineRule="auto" w:before="159"/>
        <w:ind w:left="1700" w:right="18"/>
      </w:pPr>
      <w:r>
        <w:rPr/>
        <w:t>The conjoint analysis also indicates that those with lower incomes are less likely to remove asbestos immediately.</w:t>
      </w:r>
    </w:p>
    <w:p>
      <w:pPr>
        <w:pStyle w:val="BodyText"/>
        <w:spacing w:line="283" w:lineRule="auto" w:before="132"/>
        <w:ind w:left="1700" w:right="18"/>
      </w:pPr>
      <w:r>
        <w:rPr/>
        <w:t>Income has a relatively large impact on intention to remove asbestos immediately. Those with low incomes (&lt;$50,000)</w:t>
      </w:r>
      <w:r>
        <w:rPr>
          <w:spacing w:val="-19"/>
        </w:rPr>
        <w:t> </w:t>
      </w:r>
      <w:r>
        <w:rPr/>
        <w:t>are</w:t>
      </w:r>
      <w:r>
        <w:rPr>
          <w:spacing w:val="-19"/>
        </w:rPr>
        <w:t> </w:t>
      </w:r>
      <w:r>
        <w:rPr/>
        <w:t>consistently</w:t>
      </w:r>
      <w:r>
        <w:rPr>
          <w:spacing w:val="-19"/>
        </w:rPr>
        <w:t> </w:t>
      </w:r>
      <w:r>
        <w:rPr/>
        <w:t>less</w:t>
      </w:r>
      <w:r>
        <w:rPr>
          <w:spacing w:val="-19"/>
        </w:rPr>
        <w:t> </w:t>
      </w:r>
      <w:r>
        <w:rPr/>
        <w:t>likely</w:t>
      </w:r>
      <w:r>
        <w:rPr>
          <w:spacing w:val="-19"/>
        </w:rPr>
        <w:t> </w:t>
      </w:r>
      <w:r>
        <w:rPr/>
        <w:t>to</w:t>
      </w:r>
      <w:r>
        <w:rPr>
          <w:spacing w:val="-19"/>
        </w:rPr>
        <w:t> </w:t>
      </w:r>
      <w:r>
        <w:rPr/>
        <w:t>remove</w:t>
      </w:r>
      <w:r>
        <w:rPr>
          <w:spacing w:val="-19"/>
        </w:rPr>
        <w:t> </w:t>
      </w:r>
      <w:r>
        <w:rPr/>
        <w:t>asbestos than those with medium ($50,000-$99,000) and high incomes</w:t>
      </w:r>
      <w:r>
        <w:rPr>
          <w:spacing w:val="-6"/>
        </w:rPr>
        <w:t> </w:t>
      </w:r>
      <w:r>
        <w:rPr/>
        <w:t>($100,000+)</w:t>
      </w:r>
      <w:r>
        <w:rPr>
          <w:spacing w:val="-6"/>
        </w:rPr>
        <w:t> </w:t>
      </w:r>
      <w:r>
        <w:rPr/>
        <w:t>in</w:t>
      </w:r>
      <w:r>
        <w:rPr>
          <w:spacing w:val="-6"/>
        </w:rPr>
        <w:t> </w:t>
      </w:r>
      <w:r>
        <w:rPr/>
        <w:t>the</w:t>
      </w:r>
      <w:r>
        <w:rPr>
          <w:spacing w:val="-6"/>
        </w:rPr>
        <w:t> </w:t>
      </w:r>
      <w:r>
        <w:rPr/>
        <w:t>next</w:t>
      </w:r>
      <w:r>
        <w:rPr>
          <w:spacing w:val="-6"/>
        </w:rPr>
        <w:t> </w:t>
      </w:r>
      <w:r>
        <w:rPr/>
        <w:t>three</w:t>
      </w:r>
      <w:r>
        <w:rPr>
          <w:spacing w:val="-6"/>
        </w:rPr>
        <w:t> </w:t>
      </w:r>
      <w:r>
        <w:rPr/>
        <w:t>to</w:t>
      </w:r>
      <w:r>
        <w:rPr>
          <w:spacing w:val="-6"/>
        </w:rPr>
        <w:t> </w:t>
      </w:r>
      <w:r>
        <w:rPr/>
        <w:t>six</w:t>
      </w:r>
      <w:r>
        <w:rPr>
          <w:spacing w:val="-6"/>
        </w:rPr>
        <w:t> </w:t>
      </w:r>
      <w:r>
        <w:rPr/>
        <w:t>months.</w:t>
      </w:r>
    </w:p>
    <w:p>
      <w:pPr>
        <w:pStyle w:val="BodyText"/>
        <w:spacing w:line="283" w:lineRule="auto" w:before="4"/>
        <w:ind w:left="1700" w:right="18"/>
      </w:pPr>
      <w:r>
        <w:rPr/>
        <w:t>This</w:t>
      </w:r>
      <w:r>
        <w:rPr>
          <w:spacing w:val="-11"/>
        </w:rPr>
        <w:t> </w:t>
      </w:r>
      <w:r>
        <w:rPr/>
        <w:t>pattern</w:t>
      </w:r>
      <w:r>
        <w:rPr>
          <w:spacing w:val="-11"/>
        </w:rPr>
        <w:t> </w:t>
      </w:r>
      <w:r>
        <w:rPr/>
        <w:t>is</w:t>
      </w:r>
      <w:r>
        <w:rPr>
          <w:spacing w:val="-11"/>
        </w:rPr>
        <w:t> </w:t>
      </w:r>
      <w:r>
        <w:rPr/>
        <w:t>true</w:t>
      </w:r>
      <w:r>
        <w:rPr>
          <w:spacing w:val="-11"/>
        </w:rPr>
        <w:t> </w:t>
      </w:r>
      <w:r>
        <w:rPr/>
        <w:t>across</w:t>
      </w:r>
      <w:r>
        <w:rPr>
          <w:spacing w:val="-11"/>
        </w:rPr>
        <w:t> </w:t>
      </w:r>
      <w:r>
        <w:rPr/>
        <w:t>all</w:t>
      </w:r>
      <w:r>
        <w:rPr>
          <w:spacing w:val="-11"/>
        </w:rPr>
        <w:t> </w:t>
      </w:r>
      <w:r>
        <w:rPr/>
        <w:t>locations</w:t>
      </w:r>
      <w:r>
        <w:rPr>
          <w:spacing w:val="-11"/>
        </w:rPr>
        <w:t> </w:t>
      </w:r>
      <w:r>
        <w:rPr/>
        <w:t>and</w:t>
      </w:r>
      <w:r>
        <w:rPr>
          <w:spacing w:val="-11"/>
        </w:rPr>
        <w:t> </w:t>
      </w:r>
      <w:r>
        <w:rPr/>
        <w:t>sizes/costs</w:t>
      </w:r>
      <w:r>
        <w:rPr>
          <w:spacing w:val="-11"/>
        </w:rPr>
        <w:t> </w:t>
      </w:r>
      <w:r>
        <w:rPr/>
        <w:t>of asbestos, as well as for government</w:t>
      </w:r>
      <w:r>
        <w:rPr>
          <w:spacing w:val="-25"/>
        </w:rPr>
        <w:t> </w:t>
      </w:r>
      <w:r>
        <w:rPr/>
        <w:t>initiatives.</w:t>
      </w:r>
    </w:p>
    <w:p>
      <w:pPr>
        <w:pStyle w:val="Heading2"/>
        <w:ind w:left="338"/>
      </w:pPr>
      <w:r>
        <w:rPr/>
        <w:br w:type="column"/>
      </w:r>
      <w:r>
        <w:rPr>
          <w:w w:val="90"/>
        </w:rPr>
        <w:t>Location of asbestos</w:t>
      </w:r>
    </w:p>
    <w:p>
      <w:pPr>
        <w:pStyle w:val="BodyText"/>
        <w:spacing w:line="283" w:lineRule="auto" w:before="159"/>
        <w:ind w:left="338" w:right="1666"/>
      </w:pPr>
      <w:r>
        <w:rPr/>
        <w:t>While the influence of location is smaller than the influence of size/cost and government initiatives, the conjoint analysis shows location does impact removal decisions. Removal is more likely for indoor locations than outdoor locations.</w:t>
      </w:r>
    </w:p>
    <w:p>
      <w:pPr>
        <w:pStyle w:val="BodyText"/>
        <w:spacing w:line="283" w:lineRule="auto" w:before="134"/>
        <w:ind w:left="338" w:right="1666"/>
      </w:pPr>
      <w:r>
        <w:rPr/>
        <w:t>Homeowners display a preference for removal when the location in question is the bathroom or kitchen. Removal from both indoor locations is more likely than from eaves and gutters and from fences or sheds.</w:t>
      </w:r>
    </w:p>
    <w:p>
      <w:pPr>
        <w:pStyle w:val="BodyText"/>
        <w:spacing w:line="283" w:lineRule="auto" w:before="132"/>
        <w:ind w:left="338" w:right="1772"/>
      </w:pPr>
      <w:r>
        <w:rPr/>
        <w:t>The implication to be drawn from this is that asbestos in outdoor locations is perceived as less of a health risk than indoor asbestos; a perception which may in</w:t>
      </w:r>
    </w:p>
    <w:p>
      <w:pPr>
        <w:pStyle w:val="BodyText"/>
        <w:spacing w:line="283" w:lineRule="auto" w:before="2"/>
        <w:ind w:left="338" w:right="1666"/>
        <w:rPr>
          <w:sz w:val="10"/>
        </w:rPr>
      </w:pPr>
      <w:r>
        <w:rPr/>
        <w:t>fact, be erroneous given external ACMs are exposed to weathering.</w:t>
      </w:r>
      <w:r>
        <w:rPr>
          <w:position w:val="6"/>
          <w:sz w:val="10"/>
        </w:rPr>
        <w:t>2</w:t>
      </w:r>
    </w:p>
    <w:p>
      <w:pPr>
        <w:pStyle w:val="Heading2"/>
        <w:spacing w:before="101"/>
        <w:ind w:left="338" w:right="2180"/>
      </w:pPr>
      <w:r>
        <w:rPr>
          <w:w w:val="85"/>
        </w:rPr>
        <w:t>Lack</w:t>
      </w:r>
      <w:r>
        <w:rPr>
          <w:spacing w:val="-35"/>
          <w:w w:val="85"/>
        </w:rPr>
        <w:t> </w:t>
      </w:r>
      <w:r>
        <w:rPr>
          <w:w w:val="85"/>
        </w:rPr>
        <w:t>of</w:t>
      </w:r>
      <w:r>
        <w:rPr>
          <w:spacing w:val="-35"/>
          <w:w w:val="85"/>
        </w:rPr>
        <w:t> </w:t>
      </w:r>
      <w:r>
        <w:rPr>
          <w:w w:val="85"/>
        </w:rPr>
        <w:t>urgency</w:t>
      </w:r>
      <w:r>
        <w:rPr>
          <w:spacing w:val="-35"/>
          <w:w w:val="85"/>
        </w:rPr>
        <w:t> </w:t>
      </w:r>
      <w:r>
        <w:rPr>
          <w:w w:val="85"/>
        </w:rPr>
        <w:t>and</w:t>
      </w:r>
      <w:r>
        <w:rPr>
          <w:spacing w:val="-35"/>
          <w:w w:val="85"/>
        </w:rPr>
        <w:t> </w:t>
      </w:r>
      <w:r>
        <w:rPr>
          <w:w w:val="85"/>
        </w:rPr>
        <w:t>disturbance</w:t>
      </w:r>
      <w:r>
        <w:rPr>
          <w:spacing w:val="-35"/>
          <w:w w:val="85"/>
        </w:rPr>
        <w:t> </w:t>
      </w:r>
      <w:r>
        <w:rPr>
          <w:w w:val="85"/>
        </w:rPr>
        <w:t>of </w:t>
      </w:r>
      <w:r>
        <w:rPr>
          <w:w w:val="90"/>
        </w:rPr>
        <w:t>asbestos</w:t>
      </w:r>
    </w:p>
    <w:p>
      <w:pPr>
        <w:pStyle w:val="BodyText"/>
        <w:spacing w:line="283" w:lineRule="auto" w:before="157"/>
        <w:ind w:left="338" w:right="1772"/>
      </w:pPr>
      <w:r>
        <w:rPr/>
        <w:t>The belief that asbestos is safe unless disturbed (provided it is in decent condition) was an attitude that very likely underpinned all barriers to removal as it suspended any urgency to take action to remove asbestos. While it is true that asbestos may be</w:t>
      </w:r>
    </w:p>
    <w:p>
      <w:pPr>
        <w:pStyle w:val="BodyText"/>
        <w:spacing w:line="283" w:lineRule="auto" w:before="4"/>
        <w:ind w:left="338" w:right="1837"/>
      </w:pPr>
      <w:r>
        <w:rPr/>
        <w:t>low-risk when </w:t>
      </w:r>
      <w:r>
        <w:rPr>
          <w:spacing w:val="1"/>
        </w:rPr>
        <w:t>left </w:t>
      </w:r>
      <w:r>
        <w:rPr/>
        <w:t>in place in some circumstances, this view does not consider the risks inherent in older or weathered asbestos.</w:t>
      </w:r>
      <w:r>
        <w:rPr>
          <w:position w:val="6"/>
          <w:sz w:val="10"/>
        </w:rPr>
        <w:t>3 </w:t>
      </w:r>
      <w:r>
        <w:rPr/>
        <w:t>There is a need to improve homeowners’ literacy in relation to the risks associated with asbestos in different forms, locations and</w:t>
      </w:r>
      <w:r>
        <w:rPr>
          <w:spacing w:val="2"/>
        </w:rPr>
        <w:t> </w:t>
      </w:r>
      <w:r>
        <w:rPr/>
        <w:t>conditions.</w:t>
      </w:r>
    </w:p>
    <w:p>
      <w:pPr>
        <w:pStyle w:val="BodyText"/>
        <w:spacing w:line="283" w:lineRule="auto" w:before="134"/>
        <w:ind w:left="338" w:right="1666"/>
      </w:pPr>
      <w:r>
        <w:rPr/>
        <w:t>Among participants in the qualitative research, some were apprehensive about the potential disturbance to asbestos which had otherwise been safe. Some who had previously discovered asbestos in their homes had also been reassured by builders or other professionals that the asbestos was safe to keep.</w:t>
      </w:r>
    </w:p>
    <w:p>
      <w:pPr>
        <w:pStyle w:val="BodyText"/>
        <w:spacing w:line="283" w:lineRule="auto" w:before="134"/>
        <w:ind w:left="338" w:right="1663"/>
      </w:pPr>
      <w:r>
        <w:rPr/>
        <w:t>For the conjoint analysis, half of the survey participants were exposed to information about the risks of asbestos. The findings indicate that exposure to</w:t>
      </w:r>
    </w:p>
    <w:p>
      <w:pPr>
        <w:pStyle w:val="BodyText"/>
        <w:spacing w:before="5"/>
        <w:rPr>
          <w:sz w:val="19"/>
        </w:rPr>
      </w:pPr>
    </w:p>
    <w:p>
      <w:pPr>
        <w:spacing w:line="252" w:lineRule="auto" w:before="0"/>
        <w:ind w:left="338" w:right="1666" w:hanging="1"/>
        <w:jc w:val="left"/>
        <w:rPr>
          <w:sz w:val="14"/>
        </w:rPr>
      </w:pPr>
      <w:r>
        <w:rPr>
          <w:position w:val="5"/>
          <w:sz w:val="8"/>
        </w:rPr>
        <w:t>2</w:t>
      </w:r>
      <w:r>
        <w:rPr>
          <w:spacing w:val="-8"/>
          <w:position w:val="5"/>
          <w:sz w:val="8"/>
        </w:rPr>
        <w:t> </w:t>
      </w:r>
      <w:r>
        <w:rPr>
          <w:sz w:val="14"/>
        </w:rPr>
        <w:t>Gray,</w:t>
      </w:r>
      <w:r>
        <w:rPr>
          <w:spacing w:val="-13"/>
          <w:sz w:val="14"/>
        </w:rPr>
        <w:t> </w:t>
      </w:r>
      <w:r>
        <w:rPr>
          <w:sz w:val="14"/>
        </w:rPr>
        <w:t>C.,</w:t>
      </w:r>
      <w:r>
        <w:rPr>
          <w:spacing w:val="-13"/>
          <w:sz w:val="14"/>
        </w:rPr>
        <w:t> </w:t>
      </w:r>
      <w:r>
        <w:rPr>
          <w:sz w:val="14"/>
        </w:rPr>
        <w:t>Carey,</w:t>
      </w:r>
      <w:r>
        <w:rPr>
          <w:spacing w:val="-13"/>
          <w:sz w:val="14"/>
        </w:rPr>
        <w:t> </w:t>
      </w:r>
      <w:r>
        <w:rPr>
          <w:sz w:val="14"/>
        </w:rPr>
        <w:t>R.</w:t>
      </w:r>
      <w:r>
        <w:rPr>
          <w:spacing w:val="-13"/>
          <w:sz w:val="14"/>
        </w:rPr>
        <w:t> </w:t>
      </w:r>
      <w:r>
        <w:rPr>
          <w:sz w:val="14"/>
        </w:rPr>
        <w:t>&amp;</w:t>
      </w:r>
      <w:r>
        <w:rPr>
          <w:spacing w:val="-13"/>
          <w:sz w:val="14"/>
        </w:rPr>
        <w:t> </w:t>
      </w:r>
      <w:r>
        <w:rPr>
          <w:sz w:val="14"/>
        </w:rPr>
        <w:t>Reid,</w:t>
      </w:r>
      <w:r>
        <w:rPr>
          <w:spacing w:val="-13"/>
          <w:sz w:val="14"/>
        </w:rPr>
        <w:t> </w:t>
      </w:r>
      <w:r>
        <w:rPr>
          <w:spacing w:val="1"/>
          <w:sz w:val="14"/>
        </w:rPr>
        <w:t>A.</w:t>
      </w:r>
      <w:r>
        <w:rPr>
          <w:spacing w:val="-13"/>
          <w:sz w:val="14"/>
        </w:rPr>
        <w:t> </w:t>
      </w:r>
      <w:r>
        <w:rPr>
          <w:sz w:val="14"/>
        </w:rPr>
        <w:t>Current</w:t>
      </w:r>
      <w:r>
        <w:rPr>
          <w:spacing w:val="-13"/>
          <w:sz w:val="14"/>
        </w:rPr>
        <w:t> </w:t>
      </w:r>
      <w:r>
        <w:rPr>
          <w:sz w:val="14"/>
        </w:rPr>
        <w:t>and</w:t>
      </w:r>
      <w:r>
        <w:rPr>
          <w:spacing w:val="-13"/>
          <w:sz w:val="14"/>
        </w:rPr>
        <w:t> </w:t>
      </w:r>
      <w:r>
        <w:rPr>
          <w:sz w:val="14"/>
        </w:rPr>
        <w:t>future</w:t>
      </w:r>
      <w:r>
        <w:rPr>
          <w:spacing w:val="-13"/>
          <w:sz w:val="14"/>
        </w:rPr>
        <w:t> </w:t>
      </w:r>
      <w:r>
        <w:rPr>
          <w:sz w:val="14"/>
        </w:rPr>
        <w:t>risks</w:t>
      </w:r>
      <w:r>
        <w:rPr>
          <w:spacing w:val="-13"/>
          <w:sz w:val="14"/>
        </w:rPr>
        <w:t> </w:t>
      </w:r>
      <w:r>
        <w:rPr>
          <w:sz w:val="14"/>
        </w:rPr>
        <w:t>of</w:t>
      </w:r>
      <w:r>
        <w:rPr>
          <w:spacing w:val="-13"/>
          <w:sz w:val="14"/>
        </w:rPr>
        <w:t> </w:t>
      </w:r>
      <w:r>
        <w:rPr>
          <w:sz w:val="14"/>
        </w:rPr>
        <w:t>asbestos exposure in the Australian community, International Journal of Occupational</w:t>
      </w:r>
      <w:r>
        <w:rPr>
          <w:spacing w:val="-7"/>
          <w:sz w:val="14"/>
        </w:rPr>
        <w:t> </w:t>
      </w:r>
      <w:r>
        <w:rPr>
          <w:sz w:val="14"/>
        </w:rPr>
        <w:t>and</w:t>
      </w:r>
      <w:r>
        <w:rPr>
          <w:spacing w:val="-7"/>
          <w:sz w:val="14"/>
        </w:rPr>
        <w:t> </w:t>
      </w:r>
      <w:r>
        <w:rPr>
          <w:sz w:val="14"/>
        </w:rPr>
        <w:t>Environmental</w:t>
      </w:r>
      <w:r>
        <w:rPr>
          <w:spacing w:val="-7"/>
          <w:sz w:val="14"/>
        </w:rPr>
        <w:t> </w:t>
      </w:r>
      <w:r>
        <w:rPr>
          <w:sz w:val="14"/>
        </w:rPr>
        <w:t>Health</w:t>
      </w:r>
      <w:r>
        <w:rPr>
          <w:spacing w:val="-7"/>
          <w:sz w:val="14"/>
        </w:rPr>
        <w:t> </w:t>
      </w:r>
      <w:r>
        <w:rPr>
          <w:sz w:val="14"/>
        </w:rPr>
        <w:t>Vol.</w:t>
      </w:r>
      <w:r>
        <w:rPr>
          <w:spacing w:val="-7"/>
          <w:sz w:val="14"/>
        </w:rPr>
        <w:t> </w:t>
      </w:r>
      <w:r>
        <w:rPr>
          <w:sz w:val="14"/>
        </w:rPr>
        <w:t>22,</w:t>
      </w:r>
      <w:r>
        <w:rPr>
          <w:spacing w:val="-7"/>
          <w:sz w:val="14"/>
        </w:rPr>
        <w:t> </w:t>
      </w:r>
      <w:r>
        <w:rPr>
          <w:sz w:val="14"/>
        </w:rPr>
        <w:t>Iss.4,</w:t>
      </w:r>
      <w:r>
        <w:rPr>
          <w:spacing w:val="-7"/>
          <w:sz w:val="14"/>
        </w:rPr>
        <w:t> </w:t>
      </w:r>
      <w:r>
        <w:rPr>
          <w:spacing w:val="-3"/>
          <w:sz w:val="14"/>
        </w:rPr>
        <w:t>2016.</w:t>
      </w:r>
    </w:p>
    <w:p>
      <w:pPr>
        <w:spacing w:before="2"/>
        <w:ind w:left="338" w:right="0" w:firstLine="0"/>
        <w:jc w:val="left"/>
        <w:rPr>
          <w:sz w:val="14"/>
        </w:rPr>
      </w:pPr>
      <w:r>
        <w:rPr>
          <w:position w:val="5"/>
          <w:sz w:val="8"/>
        </w:rPr>
        <w:t>3 </w:t>
      </w:r>
      <w:r>
        <w:rPr>
          <w:sz w:val="14"/>
        </w:rPr>
        <w:t>Ibid.</w:t>
      </w:r>
    </w:p>
    <w:p>
      <w:pPr>
        <w:spacing w:after="0"/>
        <w:jc w:val="left"/>
        <w:rPr>
          <w:sz w:val="14"/>
        </w:rPr>
        <w:sectPr>
          <w:type w:val="continuous"/>
          <w:pgSz w:w="11910" w:h="16840"/>
          <w:pgMar w:top="1580" w:bottom="280" w:left="0" w:right="0"/>
          <w:cols w:num="2" w:equalWidth="0">
            <w:col w:w="5802" w:space="40"/>
            <w:col w:w="6068"/>
          </w:cols>
        </w:sectPr>
      </w:pPr>
    </w:p>
    <w:p>
      <w:pPr>
        <w:pStyle w:val="BodyText"/>
        <w:spacing w:line="283" w:lineRule="auto" w:before="126"/>
        <w:ind w:left="1700" w:right="6406"/>
      </w:pPr>
      <w:r>
        <w:rPr/>
        <w:pict>
          <v:group style="position:absolute;margin-left:308.976013pt;margin-top:-.148261pt;width:286.3pt;height:104.45pt;mso-position-horizontal-relative:page;mso-position-vertical-relative:paragraph;z-index:1936" coordorigin="6180,-3" coordsize="5726,2089">
            <v:rect style="position:absolute;left:6179;top:-3;width:5726;height:2089" filled="true" fillcolor="#1c75bc" stroked="false">
              <v:fill opacity="9830f" type="solid"/>
            </v:rect>
            <v:shape style="position:absolute;left:6462;top:1031;width:114;height:176" type="#_x0000_t75" stroked="false">
              <v:imagedata r:id="rId13" o:title=""/>
            </v:shape>
            <v:shape style="position:absolute;left:6179;top:-3;width:5726;height:2089" type="#_x0000_t202" filled="false" stroked="false">
              <v:textbox inset="0,0,0,0">
                <w:txbxContent>
                  <w:p>
                    <w:pPr>
                      <w:spacing w:before="125"/>
                      <w:ind w:left="283" w:right="0" w:firstLine="0"/>
                      <w:jc w:val="left"/>
                      <w:rPr>
                        <w:rFonts w:ascii="Arial"/>
                        <w:sz w:val="28"/>
                      </w:rPr>
                    </w:pPr>
                    <w:r>
                      <w:rPr>
                        <w:rFonts w:ascii="Arial"/>
                        <w:w w:val="90"/>
                        <w:sz w:val="28"/>
                      </w:rPr>
                      <w:t>Conclusion</w:t>
                    </w:r>
                  </w:p>
                  <w:p>
                    <w:pPr>
                      <w:spacing w:before="160"/>
                      <w:ind w:left="566" w:right="0" w:hanging="284"/>
                      <w:jc w:val="left"/>
                      <w:rPr>
                        <w:sz w:val="18"/>
                      </w:rPr>
                    </w:pPr>
                    <w:r>
                      <w:rPr>
                        <w:sz w:val="18"/>
                      </w:rPr>
                      <w:t>The findings above support the conclusion that:</w:t>
                    </w:r>
                  </w:p>
                  <w:p>
                    <w:pPr>
                      <w:spacing w:line="283" w:lineRule="auto" w:before="170"/>
                      <w:ind w:left="566" w:right="1936" w:firstLine="0"/>
                      <w:jc w:val="left"/>
                      <w:rPr>
                        <w:sz w:val="18"/>
                      </w:rPr>
                    </w:pPr>
                    <w:r>
                      <w:rPr>
                        <w:sz w:val="18"/>
                      </w:rPr>
                      <w:t>Low</w:t>
                    </w:r>
                    <w:r>
                      <w:rPr>
                        <w:spacing w:val="-15"/>
                        <w:sz w:val="18"/>
                      </w:rPr>
                      <w:t> </w:t>
                    </w:r>
                    <w:r>
                      <w:rPr>
                        <w:sz w:val="18"/>
                      </w:rPr>
                      <w:t>levels</w:t>
                    </w:r>
                    <w:r>
                      <w:rPr>
                        <w:spacing w:val="-15"/>
                        <w:sz w:val="18"/>
                      </w:rPr>
                      <w:t> </w:t>
                    </w:r>
                    <w:r>
                      <w:rPr>
                        <w:sz w:val="18"/>
                      </w:rPr>
                      <w:t>of</w:t>
                    </w:r>
                    <w:r>
                      <w:rPr>
                        <w:spacing w:val="-15"/>
                        <w:sz w:val="18"/>
                      </w:rPr>
                      <w:t> </w:t>
                    </w:r>
                    <w:r>
                      <w:rPr>
                        <w:sz w:val="18"/>
                      </w:rPr>
                      <w:t>risk</w:t>
                    </w:r>
                    <w:r>
                      <w:rPr>
                        <w:spacing w:val="-15"/>
                        <w:sz w:val="18"/>
                      </w:rPr>
                      <w:t> </w:t>
                    </w:r>
                    <w:r>
                      <w:rPr>
                        <w:sz w:val="18"/>
                      </w:rPr>
                      <w:t>literacy</w:t>
                    </w:r>
                    <w:r>
                      <w:rPr>
                        <w:spacing w:val="-15"/>
                        <w:sz w:val="18"/>
                      </w:rPr>
                      <w:t> </w:t>
                    </w:r>
                    <w:r>
                      <w:rPr>
                        <w:sz w:val="18"/>
                      </w:rPr>
                      <w:t>relating</w:t>
                    </w:r>
                    <w:r>
                      <w:rPr>
                        <w:spacing w:val="-15"/>
                        <w:sz w:val="18"/>
                      </w:rPr>
                      <w:t> </w:t>
                    </w:r>
                    <w:r>
                      <w:rPr>
                        <w:sz w:val="18"/>
                      </w:rPr>
                      <w:t>to</w:t>
                    </w:r>
                    <w:r>
                      <w:rPr>
                        <w:spacing w:val="-15"/>
                        <w:sz w:val="18"/>
                      </w:rPr>
                      <w:t> </w:t>
                    </w:r>
                    <w:r>
                      <w:rPr>
                        <w:sz w:val="18"/>
                      </w:rPr>
                      <w:t>products containing asbestos is a barrier to informed decision-making</w:t>
                    </w:r>
                  </w:p>
                </w:txbxContent>
              </v:textbox>
              <w10:wrap type="none"/>
            </v:shape>
            <w10:wrap type="none"/>
          </v:group>
        </w:pict>
      </w:r>
      <w:r>
        <w:rPr/>
        <w:t>the information provided reduces the likelihood of immediate removal of asbestos by homeowners. It is possible that the inclusion of information about the risks of “building and/or maintenance work</w:t>
      </w:r>
    </w:p>
    <w:p>
      <w:pPr>
        <w:pStyle w:val="BodyText"/>
        <w:spacing w:line="283" w:lineRule="auto" w:before="3"/>
        <w:ind w:left="1700" w:right="5915"/>
      </w:pPr>
      <w:r>
        <w:rPr/>
        <w:t>involving asbestos” and “demolition and/or unsafe and uncontrolled removal of asbestos” raised concerns for some participants about undertaking removal activities.</w:t>
      </w:r>
    </w:p>
    <w:p>
      <w:pPr>
        <w:pStyle w:val="BodyText"/>
        <w:rPr>
          <w:sz w:val="20"/>
        </w:rPr>
      </w:pPr>
    </w:p>
    <w:p>
      <w:pPr>
        <w:pStyle w:val="BodyText"/>
        <w:rPr>
          <w:sz w:val="20"/>
        </w:rPr>
      </w:pPr>
    </w:p>
    <w:p>
      <w:pPr>
        <w:pStyle w:val="BodyText"/>
        <w:spacing w:before="11"/>
        <w:rPr>
          <w:sz w:val="21"/>
        </w:rPr>
      </w:pPr>
    </w:p>
    <w:p>
      <w:pPr>
        <w:spacing w:after="0"/>
        <w:rPr>
          <w:sz w:val="21"/>
        </w:rPr>
        <w:sectPr>
          <w:pgSz w:w="11910" w:h="16840"/>
          <w:pgMar w:top="1520" w:bottom="280" w:left="0" w:right="0"/>
        </w:sectPr>
      </w:pPr>
    </w:p>
    <w:p>
      <w:pPr>
        <w:pStyle w:val="Heading2"/>
      </w:pPr>
      <w:r>
        <w:rPr>
          <w:w w:val="90"/>
        </w:rPr>
        <w:t>Self-perceptions of DIY skills</w:t>
      </w:r>
    </w:p>
    <w:p>
      <w:pPr>
        <w:pStyle w:val="BodyText"/>
        <w:spacing w:line="283" w:lineRule="auto" w:before="160"/>
        <w:ind w:left="1700"/>
      </w:pPr>
      <w:r>
        <w:rPr/>
        <w:t>Almost all focus group participants expressed unwillingness to remove asbestos themselves. Participants</w:t>
      </w:r>
      <w:r>
        <w:rPr>
          <w:spacing w:val="-16"/>
        </w:rPr>
        <w:t> </w:t>
      </w:r>
      <w:r>
        <w:rPr/>
        <w:t>expressing</w:t>
      </w:r>
      <w:r>
        <w:rPr>
          <w:spacing w:val="-16"/>
        </w:rPr>
        <w:t> </w:t>
      </w:r>
      <w:r>
        <w:rPr/>
        <w:t>absolute</w:t>
      </w:r>
      <w:r>
        <w:rPr>
          <w:spacing w:val="-16"/>
        </w:rPr>
        <w:t> </w:t>
      </w:r>
      <w:r>
        <w:rPr/>
        <w:t>rejection</w:t>
      </w:r>
      <w:r>
        <w:rPr>
          <w:spacing w:val="-16"/>
        </w:rPr>
        <w:t> </w:t>
      </w:r>
      <w:r>
        <w:rPr/>
        <w:t>to</w:t>
      </w:r>
      <w:r>
        <w:rPr>
          <w:spacing w:val="-16"/>
        </w:rPr>
        <w:t> </w:t>
      </w:r>
      <w:r>
        <w:rPr/>
        <w:t>self-removal were generally female, while those willing to do so were almost exclusively male. Although the advantages of using</w:t>
      </w:r>
      <w:r>
        <w:rPr>
          <w:spacing w:val="-7"/>
        </w:rPr>
        <w:t> </w:t>
      </w:r>
      <w:r>
        <w:rPr/>
        <w:t>a</w:t>
      </w:r>
      <w:r>
        <w:rPr>
          <w:spacing w:val="-7"/>
        </w:rPr>
        <w:t> </w:t>
      </w:r>
      <w:r>
        <w:rPr/>
        <w:t>professional</w:t>
      </w:r>
      <w:r>
        <w:rPr>
          <w:spacing w:val="-7"/>
        </w:rPr>
        <w:t> </w:t>
      </w:r>
      <w:r>
        <w:rPr/>
        <w:t>far</w:t>
      </w:r>
      <w:r>
        <w:rPr>
          <w:spacing w:val="-7"/>
        </w:rPr>
        <w:t> </w:t>
      </w:r>
      <w:r>
        <w:rPr/>
        <w:t>outweighed</w:t>
      </w:r>
      <w:r>
        <w:rPr>
          <w:spacing w:val="-7"/>
        </w:rPr>
        <w:t> </w:t>
      </w:r>
      <w:r>
        <w:rPr/>
        <w:t>those</w:t>
      </w:r>
      <w:r>
        <w:rPr>
          <w:spacing w:val="-7"/>
        </w:rPr>
        <w:t> </w:t>
      </w:r>
      <w:r>
        <w:rPr/>
        <w:t>of</w:t>
      </w:r>
      <w:r>
        <w:rPr>
          <w:spacing w:val="-7"/>
        </w:rPr>
        <w:t> </w:t>
      </w:r>
      <w:r>
        <w:rPr/>
        <w:t>DIY</w:t>
      </w:r>
      <w:r>
        <w:rPr>
          <w:spacing w:val="-7"/>
        </w:rPr>
        <w:t> </w:t>
      </w:r>
      <w:r>
        <w:rPr/>
        <w:t>removal work (safer, more convenient and worry-free), cost was viewed by far as the strongest deterrent to the use of a professional.</w:t>
      </w:r>
      <w:r>
        <w:rPr>
          <w:spacing w:val="-13"/>
        </w:rPr>
        <w:t> </w:t>
      </w:r>
      <w:r>
        <w:rPr/>
        <w:t>The</w:t>
      </w:r>
      <w:r>
        <w:rPr>
          <w:spacing w:val="-13"/>
        </w:rPr>
        <w:t> </w:t>
      </w:r>
      <w:r>
        <w:rPr/>
        <w:t>lower</w:t>
      </w:r>
      <w:r>
        <w:rPr>
          <w:spacing w:val="-13"/>
        </w:rPr>
        <w:t> </w:t>
      </w:r>
      <w:r>
        <w:rPr/>
        <w:t>costs</w:t>
      </w:r>
      <w:r>
        <w:rPr>
          <w:spacing w:val="-13"/>
        </w:rPr>
        <w:t> </w:t>
      </w:r>
      <w:r>
        <w:rPr/>
        <w:t>accompanying</w:t>
      </w:r>
      <w:r>
        <w:rPr>
          <w:spacing w:val="-13"/>
        </w:rPr>
        <w:t> </w:t>
      </w:r>
      <w:r>
        <w:rPr/>
        <w:t>self-removal work was often seen as the only</w:t>
      </w:r>
      <w:r>
        <w:rPr>
          <w:spacing w:val="-18"/>
        </w:rPr>
        <w:t> </w:t>
      </w:r>
      <w:r>
        <w:rPr/>
        <w:t>benefit.</w:t>
      </w:r>
    </w:p>
    <w:p>
      <w:pPr>
        <w:pStyle w:val="BodyText"/>
        <w:rPr>
          <w:sz w:val="20"/>
        </w:rPr>
      </w:pPr>
      <w:r>
        <w:rPr/>
        <w:br w:type="column"/>
      </w:r>
      <w:r>
        <w:rPr>
          <w:sz w:val="20"/>
        </w:rPr>
      </w:r>
    </w:p>
    <w:p>
      <w:pPr>
        <w:pStyle w:val="BodyText"/>
        <w:spacing w:before="8"/>
        <w:rPr>
          <w:sz w:val="27"/>
        </w:rPr>
      </w:pPr>
    </w:p>
    <w:p>
      <w:pPr>
        <w:pStyle w:val="BodyText"/>
        <w:spacing w:line="283" w:lineRule="auto"/>
        <w:ind w:left="300" w:right="1705"/>
      </w:pPr>
      <w:r>
        <w:rPr/>
        <w:t>Most homeowners surveyed said they would not remove asbestos from their homes themselves – </w:t>
      </w:r>
      <w:r>
        <w:rPr>
          <w:spacing w:val="-6"/>
        </w:rPr>
        <w:t>81% </w:t>
      </w:r>
      <w:r>
        <w:rPr/>
        <w:t>are</w:t>
      </w:r>
      <w:r>
        <w:rPr>
          <w:spacing w:val="-18"/>
        </w:rPr>
        <w:t> </w:t>
      </w:r>
      <w:r>
        <w:rPr>
          <w:i/>
        </w:rPr>
        <w:t>more</w:t>
      </w:r>
      <w:r>
        <w:rPr>
          <w:i/>
          <w:spacing w:val="-23"/>
        </w:rPr>
        <w:t> </w:t>
      </w:r>
      <w:r>
        <w:rPr>
          <w:i/>
        </w:rPr>
        <w:t>unlikely</w:t>
      </w:r>
      <w:r>
        <w:rPr>
          <w:i/>
          <w:spacing w:val="-23"/>
        </w:rPr>
        <w:t> </w:t>
      </w:r>
      <w:r>
        <w:rPr>
          <w:i/>
        </w:rPr>
        <w:t>than</w:t>
      </w:r>
      <w:r>
        <w:rPr>
          <w:i/>
          <w:spacing w:val="-23"/>
        </w:rPr>
        <w:t> </w:t>
      </w:r>
      <w:r>
        <w:rPr>
          <w:i/>
        </w:rPr>
        <w:t>not</w:t>
      </w:r>
      <w:r>
        <w:rPr>
          <w:i/>
          <w:spacing w:val="-19"/>
        </w:rPr>
        <w:t> </w:t>
      </w:r>
      <w:r>
        <w:rPr/>
        <w:t>to</w:t>
      </w:r>
      <w:r>
        <w:rPr>
          <w:spacing w:val="-18"/>
        </w:rPr>
        <w:t> </w:t>
      </w:r>
      <w:r>
        <w:rPr/>
        <w:t>do</w:t>
      </w:r>
      <w:r>
        <w:rPr>
          <w:spacing w:val="-18"/>
        </w:rPr>
        <w:t> </w:t>
      </w:r>
      <w:r>
        <w:rPr/>
        <w:t>so,</w:t>
      </w:r>
      <w:r>
        <w:rPr>
          <w:spacing w:val="-18"/>
        </w:rPr>
        <w:t> </w:t>
      </w:r>
      <w:r>
        <w:rPr/>
        <w:t>while</w:t>
      </w:r>
      <w:r>
        <w:rPr>
          <w:spacing w:val="-18"/>
        </w:rPr>
        <w:t> </w:t>
      </w:r>
      <w:r>
        <w:rPr/>
        <w:t>52%</w:t>
      </w:r>
      <w:r>
        <w:rPr>
          <w:spacing w:val="-18"/>
        </w:rPr>
        <w:t> </w:t>
      </w:r>
      <w:r>
        <w:rPr/>
        <w:t>are</w:t>
      </w:r>
      <w:r>
        <w:rPr>
          <w:spacing w:val="-18"/>
        </w:rPr>
        <w:t> </w:t>
      </w:r>
      <w:r>
        <w:rPr>
          <w:i/>
        </w:rPr>
        <w:t>certain </w:t>
      </w:r>
      <w:r>
        <w:rPr/>
        <w:t>or</w:t>
      </w:r>
      <w:r>
        <w:rPr>
          <w:spacing w:val="-28"/>
        </w:rPr>
        <w:t> </w:t>
      </w:r>
      <w:r>
        <w:rPr>
          <w:i/>
        </w:rPr>
        <w:t>virtually</w:t>
      </w:r>
      <w:r>
        <w:rPr>
          <w:i/>
          <w:spacing w:val="-28"/>
        </w:rPr>
        <w:t> </w:t>
      </w:r>
      <w:r>
        <w:rPr>
          <w:i/>
        </w:rPr>
        <w:t>certain</w:t>
      </w:r>
      <w:r>
        <w:rPr>
          <w:i/>
          <w:spacing w:val="-28"/>
        </w:rPr>
        <w:t> </w:t>
      </w:r>
      <w:r>
        <w:rPr>
          <w:i/>
        </w:rPr>
        <w:t>not</w:t>
      </w:r>
      <w:r>
        <w:rPr>
          <w:i/>
          <w:spacing w:val="-28"/>
        </w:rPr>
        <w:t> </w:t>
      </w:r>
      <w:r>
        <w:rPr>
          <w:i/>
          <w:spacing w:val="-3"/>
        </w:rPr>
        <w:t>to</w:t>
      </w:r>
      <w:r>
        <w:rPr>
          <w:spacing w:val="-3"/>
        </w:rPr>
        <w:t>.</w:t>
      </w:r>
      <w:r>
        <w:rPr>
          <w:spacing w:val="-24"/>
        </w:rPr>
        <w:t> </w:t>
      </w:r>
      <w:r>
        <w:rPr/>
        <w:t>Further,</w:t>
      </w:r>
      <w:r>
        <w:rPr>
          <w:spacing w:val="-24"/>
        </w:rPr>
        <w:t> </w:t>
      </w:r>
      <w:r>
        <w:rPr/>
        <w:t>an</w:t>
      </w:r>
      <w:r>
        <w:rPr>
          <w:spacing w:val="-24"/>
        </w:rPr>
        <w:t> </w:t>
      </w:r>
      <w:r>
        <w:rPr/>
        <w:t>inverse</w:t>
      </w:r>
      <w:r>
        <w:rPr>
          <w:spacing w:val="-24"/>
        </w:rPr>
        <w:t> </w:t>
      </w:r>
      <w:r>
        <w:rPr/>
        <w:t>relationship was found between an individual’s self-rating of DIY skills and their willingness to self-remove; the better a homeowner regarded their DIY skillset to be, the more likely it was that they would be </w:t>
      </w:r>
      <w:r>
        <w:rPr>
          <w:i/>
        </w:rPr>
        <w:t>virtually certain </w:t>
      </w:r>
      <w:r>
        <w:rPr/>
        <w:t>or </w:t>
      </w:r>
      <w:r>
        <w:rPr>
          <w:i/>
        </w:rPr>
        <w:t>very </w:t>
      </w:r>
      <w:r>
        <w:rPr>
          <w:i/>
        </w:rPr>
        <w:t>likely</w:t>
      </w:r>
      <w:r>
        <w:rPr>
          <w:i/>
          <w:spacing w:val="-8"/>
        </w:rPr>
        <w:t> </w:t>
      </w:r>
      <w:r>
        <w:rPr/>
        <w:t>to</w:t>
      </w:r>
      <w:r>
        <w:rPr>
          <w:spacing w:val="-8"/>
        </w:rPr>
        <w:t> </w:t>
      </w:r>
      <w:r>
        <w:rPr/>
        <w:t>conduct</w:t>
      </w:r>
      <w:r>
        <w:rPr>
          <w:spacing w:val="-8"/>
        </w:rPr>
        <w:t> </w:t>
      </w:r>
      <w:r>
        <w:rPr/>
        <w:t>a</w:t>
      </w:r>
      <w:r>
        <w:rPr>
          <w:spacing w:val="-8"/>
        </w:rPr>
        <w:t> </w:t>
      </w:r>
      <w:r>
        <w:rPr/>
        <w:t>self-removal</w:t>
      </w:r>
      <w:r>
        <w:rPr>
          <w:spacing w:val="-8"/>
        </w:rPr>
        <w:t> </w:t>
      </w:r>
      <w:r>
        <w:rPr/>
        <w:t>(see</w:t>
      </w:r>
      <w:r>
        <w:rPr>
          <w:spacing w:val="-8"/>
        </w:rPr>
        <w:t> </w:t>
      </w:r>
      <w:r>
        <w:rPr/>
        <w:t>Table</w:t>
      </w:r>
      <w:r>
        <w:rPr>
          <w:spacing w:val="-8"/>
        </w:rPr>
        <w:t> </w:t>
      </w:r>
      <w:r>
        <w:rPr/>
        <w:t>3</w:t>
      </w:r>
      <w:r>
        <w:rPr>
          <w:spacing w:val="-8"/>
        </w:rPr>
        <w:t> </w:t>
      </w:r>
      <w:r>
        <w:rPr/>
        <w:t>below).</w:t>
      </w:r>
    </w:p>
    <w:p>
      <w:pPr>
        <w:spacing w:after="0" w:line="283" w:lineRule="auto"/>
        <w:sectPr>
          <w:type w:val="continuous"/>
          <w:pgSz w:w="11910" w:h="16840"/>
          <w:pgMar w:top="1580" w:bottom="280" w:left="0" w:right="0"/>
          <w:cols w:num="2" w:equalWidth="0">
            <w:col w:w="5840" w:space="40"/>
            <w:col w:w="6030"/>
          </w:cols>
        </w:sectPr>
      </w:pPr>
    </w:p>
    <w:p>
      <w:pPr>
        <w:pStyle w:val="BodyText"/>
        <w:rPr>
          <w:sz w:val="23"/>
        </w:rPr>
      </w:pPr>
    </w:p>
    <w:p>
      <w:pPr>
        <w:pStyle w:val="BodyText"/>
        <w:spacing w:before="102"/>
        <w:ind w:left="1700"/>
        <w:rPr>
          <w:rFonts w:ascii="Arial"/>
        </w:rPr>
      </w:pPr>
      <w:r>
        <w:rPr/>
        <w:pict>
          <v:group style="position:absolute;margin-left:85.039001pt;margin-top:70.629883pt;width:425.6pt;height:136.1pt;mso-position-horizontal-relative:page;mso-position-vertical-relative:paragraph;z-index:-35680" coordorigin="1701,1413" coordsize="8512,2722">
            <v:shape style="position:absolute;left:1700;top:1412;width:8512;height:2722" coordorigin="1701,1413" coordsize="8512,2722" path="m3692,3227l1701,3227,1701,3680,3692,3680,3692,3227m3692,2320l1701,2320,1701,2773,3692,2773,3692,2320m3692,1413l1701,1413,1701,1866,3692,1866,3692,1413m4996,3680l3692,3680,3692,4134,4996,4134,4996,3680m4996,2773l3692,2773,3692,3227,4996,3227,4996,2773m4996,1866l3692,1866,3692,2320,4996,2320,4996,1866m6300,3227l4996,3227,4996,3680,6300,3680,6300,3227m6300,2320l4996,2320,4996,2773,6300,2773,6300,2320m6300,1413l4996,1413,4996,1866,6300,1866,6300,1413m7604,2773l6300,2773,6300,3227,7604,3227,7604,2773m7604,1866l6300,1866,6300,2320,7604,2320,7604,1866m8908,3227l7604,3227,7604,3680,8908,3680,8908,3227m8908,2320l7604,2320,7604,2773,8908,2773,8908,2320m8908,1413l7604,1413,7604,1866,8908,1866,8908,1413m10212,3680l8908,3680,8908,4134,10212,4134,10212,3680m10212,2773l8908,2773,8908,3227,10212,3227,10212,2773m10212,1866l8908,1866,8908,2320,10212,2320,10212,1866e" filled="true" fillcolor="#e5e9f6" stroked="false">
              <v:path arrowok="t"/>
              <v:fill type="solid"/>
            </v:shape>
            <v:shape style="position:absolute;left:1700;top:1866;width:1992;height:2268" coordorigin="1701,1866" coordsize="1992,2268" path="m3692,3680l1701,3680,1701,4134,3692,4134,3692,3680m3692,2773l1701,2773,1701,3227,3692,3227,3692,2773m3692,1866l1701,1866,1701,2320,3692,2320,3692,1866e" filled="true" fillcolor="#b9c9e7" stroked="false">
              <v:path arrowok="t"/>
              <v:fill type="solid"/>
            </v:shape>
            <v:shape style="position:absolute;left:5753;top:2466;width:108;height:184" type="#_x0000_t75" stroked="false">
              <v:imagedata r:id="rId17" o:title=""/>
            </v:shape>
            <v:shape style="position:absolute;left:8327;top:2470;width:108;height:184" type="#_x0000_t75" stroked="false">
              <v:imagedata r:id="rId18" o:title=""/>
            </v:shape>
            <v:shape style="position:absolute;left:9632;top:2470;width:108;height:184" type="#_x0000_t75" stroked="false">
              <v:imagedata r:id="rId19" o:title=""/>
            </v:shape>
            <w10:wrap type="none"/>
          </v:group>
        </w:pict>
      </w:r>
      <w:r>
        <w:rPr>
          <w:rFonts w:ascii="Arial"/>
          <w:w w:val="95"/>
        </w:rPr>
        <w:t>Table 3: Likelihood of self-removal, by self-rating of DIY skills</w:t>
      </w:r>
    </w:p>
    <w:p>
      <w:pPr>
        <w:pStyle w:val="BodyText"/>
        <w:spacing w:before="8"/>
        <w:rPr>
          <w:rFonts w:ascii="Arial"/>
          <w:sz w:val="16"/>
        </w:rPr>
      </w:pPr>
    </w:p>
    <w:tbl>
      <w:tblPr>
        <w:tblW w:w="0" w:type="auto"/>
        <w:jc w:val="left"/>
        <w:tblInd w:w="1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91"/>
        <w:gridCol w:w="1304"/>
        <w:gridCol w:w="1304"/>
        <w:gridCol w:w="1304"/>
        <w:gridCol w:w="1304"/>
        <w:gridCol w:w="1304"/>
      </w:tblGrid>
      <w:tr>
        <w:trPr>
          <w:trHeight w:val="443" w:hRule="atLeast"/>
        </w:trPr>
        <w:tc>
          <w:tcPr>
            <w:tcW w:w="1991" w:type="dxa"/>
            <w:vMerge w:val="restart"/>
          </w:tcPr>
          <w:p>
            <w:pPr>
              <w:pStyle w:val="TableParagraph"/>
              <w:spacing w:before="0"/>
              <w:jc w:val="left"/>
              <w:rPr>
                <w:rFonts w:ascii="Arial"/>
                <w:sz w:val="22"/>
              </w:rPr>
            </w:pPr>
          </w:p>
          <w:p>
            <w:pPr>
              <w:pStyle w:val="TableParagraph"/>
              <w:spacing w:before="0"/>
              <w:jc w:val="left"/>
              <w:rPr>
                <w:rFonts w:ascii="Arial"/>
                <w:sz w:val="22"/>
              </w:rPr>
            </w:pPr>
          </w:p>
          <w:p>
            <w:pPr>
              <w:pStyle w:val="TableParagraph"/>
              <w:spacing w:before="0"/>
              <w:jc w:val="left"/>
              <w:rPr>
                <w:rFonts w:ascii="Arial"/>
                <w:sz w:val="22"/>
              </w:rPr>
            </w:pPr>
          </w:p>
          <w:p>
            <w:pPr>
              <w:pStyle w:val="TableParagraph"/>
              <w:spacing w:before="1"/>
              <w:jc w:val="left"/>
              <w:rPr>
                <w:rFonts w:ascii="Arial"/>
                <w:sz w:val="23"/>
              </w:rPr>
            </w:pPr>
          </w:p>
          <w:p>
            <w:pPr>
              <w:pStyle w:val="TableParagraph"/>
              <w:spacing w:before="0"/>
              <w:ind w:left="392"/>
              <w:jc w:val="left"/>
              <w:rPr>
                <w:sz w:val="18"/>
              </w:rPr>
            </w:pPr>
            <w:r>
              <w:rPr>
                <w:sz w:val="18"/>
              </w:rPr>
              <w:t>Virtually certain</w:t>
            </w:r>
          </w:p>
        </w:tc>
        <w:tc>
          <w:tcPr>
            <w:tcW w:w="6520" w:type="dxa"/>
            <w:gridSpan w:val="5"/>
            <w:tcBorders>
              <w:top w:val="single" w:sz="4" w:space="0" w:color="FFFFFF"/>
              <w:left w:val="single" w:sz="4" w:space="0" w:color="FFFFFF"/>
              <w:bottom w:val="single" w:sz="4" w:space="0" w:color="FFFFFF"/>
              <w:right w:val="single" w:sz="4" w:space="0" w:color="FFFFFF"/>
            </w:tcBorders>
            <w:shd w:val="clear" w:color="auto" w:fill="1C75BC"/>
          </w:tcPr>
          <w:p>
            <w:pPr>
              <w:pStyle w:val="TableParagraph"/>
              <w:spacing w:before="118"/>
              <w:ind w:left="2359" w:right="2359"/>
              <w:rPr>
                <w:b/>
                <w:sz w:val="18"/>
              </w:rPr>
            </w:pPr>
            <w:r>
              <w:rPr>
                <w:b/>
                <w:color w:val="FFFFFF"/>
                <w:w w:val="105"/>
                <w:sz w:val="18"/>
              </w:rPr>
              <w:t>Self-rating of DIY skills</w:t>
            </w:r>
          </w:p>
        </w:tc>
      </w:tr>
      <w:tr>
        <w:trPr>
          <w:trHeight w:val="448" w:hRule="atLeast"/>
        </w:trPr>
        <w:tc>
          <w:tcPr>
            <w:tcW w:w="1991" w:type="dxa"/>
            <w:vMerge/>
            <w:tcBorders>
              <w:top w:val="nil"/>
            </w:tcBorders>
          </w:tcPr>
          <w:p>
            <w:pPr>
              <w:rPr>
                <w:sz w:val="2"/>
                <w:szCs w:val="2"/>
              </w:rPr>
            </w:pPr>
          </w:p>
        </w:tc>
        <w:tc>
          <w:tcPr>
            <w:tcW w:w="1304" w:type="dxa"/>
            <w:tcBorders>
              <w:top w:val="single" w:sz="4" w:space="0" w:color="FFFFFF"/>
              <w:left w:val="single" w:sz="4" w:space="0" w:color="FFFFFF"/>
              <w:right w:val="single" w:sz="4" w:space="0" w:color="FFFFFF"/>
            </w:tcBorders>
            <w:shd w:val="clear" w:color="auto" w:fill="1C75BC"/>
          </w:tcPr>
          <w:p>
            <w:pPr>
              <w:pStyle w:val="TableParagraph"/>
              <w:spacing w:before="118"/>
              <w:ind w:left="227" w:right="225"/>
              <w:rPr>
                <w:b/>
                <w:sz w:val="18"/>
              </w:rPr>
            </w:pPr>
            <w:r>
              <w:rPr>
                <w:b/>
                <w:color w:val="FFFFFF"/>
                <w:w w:val="105"/>
                <w:sz w:val="18"/>
              </w:rPr>
              <w:t>Very good</w:t>
            </w:r>
          </w:p>
        </w:tc>
        <w:tc>
          <w:tcPr>
            <w:tcW w:w="1304" w:type="dxa"/>
            <w:tcBorders>
              <w:top w:val="single" w:sz="4" w:space="0" w:color="FFFFFF"/>
              <w:left w:val="single" w:sz="4" w:space="0" w:color="FFFFFF"/>
              <w:right w:val="single" w:sz="4" w:space="0" w:color="FFFFFF"/>
            </w:tcBorders>
            <w:shd w:val="clear" w:color="auto" w:fill="1C75BC"/>
          </w:tcPr>
          <w:p>
            <w:pPr>
              <w:pStyle w:val="TableParagraph"/>
              <w:spacing w:line="196" w:lineRule="auto" w:before="58"/>
              <w:ind w:left="438" w:right="207" w:hanging="212"/>
              <w:jc w:val="left"/>
              <w:rPr>
                <w:b/>
                <w:sz w:val="18"/>
              </w:rPr>
            </w:pPr>
            <w:r>
              <w:rPr>
                <w:b/>
                <w:color w:val="FFFFFF"/>
                <w:w w:val="105"/>
                <w:sz w:val="18"/>
              </w:rPr>
              <w:t>Somewhat good</w:t>
            </w:r>
          </w:p>
        </w:tc>
        <w:tc>
          <w:tcPr>
            <w:tcW w:w="1304" w:type="dxa"/>
            <w:tcBorders>
              <w:top w:val="single" w:sz="4" w:space="0" w:color="FFFFFF"/>
              <w:left w:val="single" w:sz="4" w:space="0" w:color="FFFFFF"/>
              <w:right w:val="single" w:sz="4" w:space="0" w:color="FFFFFF"/>
            </w:tcBorders>
            <w:shd w:val="clear" w:color="auto" w:fill="1C75BC"/>
          </w:tcPr>
          <w:p>
            <w:pPr>
              <w:pStyle w:val="TableParagraph"/>
              <w:spacing w:line="196" w:lineRule="auto" w:before="58"/>
              <w:ind w:left="303" w:right="118" w:hanging="180"/>
              <w:jc w:val="left"/>
              <w:rPr>
                <w:b/>
                <w:sz w:val="18"/>
              </w:rPr>
            </w:pPr>
            <w:r>
              <w:rPr>
                <w:b/>
                <w:color w:val="FFFFFF"/>
                <w:w w:val="105"/>
                <w:sz w:val="18"/>
              </w:rPr>
              <w:t>Neither good nor poor</w:t>
            </w:r>
          </w:p>
        </w:tc>
        <w:tc>
          <w:tcPr>
            <w:tcW w:w="1304" w:type="dxa"/>
            <w:tcBorders>
              <w:top w:val="single" w:sz="4" w:space="0" w:color="FFFFFF"/>
              <w:left w:val="single" w:sz="4" w:space="0" w:color="FFFFFF"/>
              <w:right w:val="single" w:sz="4" w:space="0" w:color="FFFFFF"/>
            </w:tcBorders>
            <w:shd w:val="clear" w:color="auto" w:fill="1C75BC"/>
          </w:tcPr>
          <w:p>
            <w:pPr>
              <w:pStyle w:val="TableParagraph"/>
              <w:spacing w:line="196" w:lineRule="auto" w:before="58"/>
              <w:ind w:left="457" w:right="207" w:hanging="231"/>
              <w:jc w:val="left"/>
              <w:rPr>
                <w:b/>
                <w:sz w:val="18"/>
              </w:rPr>
            </w:pPr>
            <w:r>
              <w:rPr>
                <w:b/>
                <w:color w:val="FFFFFF"/>
                <w:w w:val="105"/>
                <w:sz w:val="18"/>
              </w:rPr>
              <w:t>Somewhat poor</w:t>
            </w:r>
          </w:p>
        </w:tc>
        <w:tc>
          <w:tcPr>
            <w:tcW w:w="1304" w:type="dxa"/>
            <w:tcBorders>
              <w:top w:val="single" w:sz="4" w:space="0" w:color="FFFFFF"/>
              <w:left w:val="single" w:sz="4" w:space="0" w:color="FFFFFF"/>
              <w:right w:val="single" w:sz="4" w:space="0" w:color="FFFFFF"/>
            </w:tcBorders>
            <w:shd w:val="clear" w:color="auto" w:fill="1C75BC"/>
          </w:tcPr>
          <w:p>
            <w:pPr>
              <w:pStyle w:val="TableParagraph"/>
              <w:spacing w:before="118"/>
              <w:ind w:left="225" w:right="225"/>
              <w:rPr>
                <w:b/>
                <w:sz w:val="18"/>
              </w:rPr>
            </w:pPr>
            <w:r>
              <w:rPr>
                <w:b/>
                <w:color w:val="FFFFFF"/>
                <w:w w:val="105"/>
                <w:sz w:val="18"/>
              </w:rPr>
              <w:t>Very poor</w:t>
            </w:r>
          </w:p>
        </w:tc>
      </w:tr>
      <w:tr>
        <w:trPr>
          <w:trHeight w:val="453" w:hRule="atLeast"/>
        </w:trPr>
        <w:tc>
          <w:tcPr>
            <w:tcW w:w="1991" w:type="dxa"/>
            <w:vMerge/>
            <w:tcBorders>
              <w:top w:val="nil"/>
            </w:tcBorders>
          </w:tcPr>
          <w:p>
            <w:pPr>
              <w:rPr>
                <w:sz w:val="2"/>
                <w:szCs w:val="2"/>
              </w:rPr>
            </w:pPr>
          </w:p>
        </w:tc>
        <w:tc>
          <w:tcPr>
            <w:tcW w:w="1304" w:type="dxa"/>
          </w:tcPr>
          <w:p>
            <w:pPr>
              <w:pStyle w:val="TableParagraph"/>
              <w:spacing w:before="135"/>
              <w:ind w:left="393" w:right="393"/>
              <w:rPr>
                <w:sz w:val="18"/>
              </w:rPr>
            </w:pPr>
            <w:r>
              <w:rPr>
                <w:spacing w:val="-8"/>
                <w:w w:val="101"/>
                <w:sz w:val="18"/>
              </w:rPr>
              <w:t>1</w:t>
            </w:r>
            <w:r>
              <w:rPr>
                <w:spacing w:val="0"/>
                <w:w w:val="101"/>
                <w:sz w:val="18"/>
              </w:rPr>
              <w:t>8</w:t>
            </w:r>
            <w:r>
              <w:rPr>
                <w:spacing w:val="0"/>
                <w:w w:val="110"/>
                <w:sz w:val="18"/>
              </w:rPr>
              <w:t>%</w:t>
            </w:r>
            <w:r>
              <w:rPr>
                <w:spacing w:val="0"/>
                <w:w w:val="110"/>
                <w:position w:val="-1"/>
                <w:sz w:val="18"/>
              </w:rPr>
              <w:drawing>
                <wp:inline distT="0" distB="0" distL="0" distR="0">
                  <wp:extent cx="67983" cy="116643"/>
                  <wp:effectExtent l="0" t="0" r="0" b="0"/>
                  <wp:docPr id="29" name="image13.png" descr=""/>
                  <wp:cNvGraphicFramePr>
                    <a:graphicFrameLocks noChangeAspect="1"/>
                  </wp:cNvGraphicFramePr>
                  <a:graphic>
                    <a:graphicData uri="http://schemas.openxmlformats.org/drawingml/2006/picture">
                      <pic:pic>
                        <pic:nvPicPr>
                          <pic:cNvPr id="30" name="image13.png"/>
                          <pic:cNvPicPr/>
                        </pic:nvPicPr>
                        <pic:blipFill>
                          <a:blip r:embed="rId17" cstate="print"/>
                          <a:stretch>
                            <a:fillRect/>
                          </a:stretch>
                        </pic:blipFill>
                        <pic:spPr>
                          <a:xfrm>
                            <a:off x="0" y="0"/>
                            <a:ext cx="67983" cy="116643"/>
                          </a:xfrm>
                          <a:prstGeom prst="rect">
                            <a:avLst/>
                          </a:prstGeom>
                        </pic:spPr>
                      </pic:pic>
                    </a:graphicData>
                  </a:graphic>
                </wp:inline>
              </w:drawing>
            </w:r>
            <w:r>
              <w:rPr>
                <w:spacing w:val="0"/>
                <w:w w:val="110"/>
                <w:position w:val="-1"/>
                <w:sz w:val="18"/>
              </w:rPr>
            </w:r>
          </w:p>
        </w:tc>
        <w:tc>
          <w:tcPr>
            <w:tcW w:w="1304" w:type="dxa"/>
            <w:shd w:val="clear" w:color="auto" w:fill="E5E9F6"/>
          </w:tcPr>
          <w:p>
            <w:pPr>
              <w:pStyle w:val="TableParagraph"/>
              <w:spacing w:before="131"/>
              <w:ind w:left="472"/>
              <w:jc w:val="left"/>
              <w:rPr>
                <w:sz w:val="18"/>
              </w:rPr>
            </w:pPr>
            <w:r>
              <w:rPr>
                <w:w w:val="105"/>
                <w:sz w:val="18"/>
              </w:rPr>
              <w:t>2% </w:t>
            </w:r>
            <w:r>
              <w:rPr>
                <w:spacing w:val="-25"/>
                <w:position w:val="-2"/>
                <w:sz w:val="18"/>
              </w:rPr>
              <w:drawing>
                <wp:inline distT="0" distB="0" distL="0" distR="0">
                  <wp:extent cx="67983" cy="116638"/>
                  <wp:effectExtent l="0" t="0" r="0" b="0"/>
                  <wp:docPr id="31" name="image16.png" descr=""/>
                  <wp:cNvGraphicFramePr>
                    <a:graphicFrameLocks noChangeAspect="1"/>
                  </wp:cNvGraphicFramePr>
                  <a:graphic>
                    <a:graphicData uri="http://schemas.openxmlformats.org/drawingml/2006/picture">
                      <pic:pic>
                        <pic:nvPicPr>
                          <pic:cNvPr id="32" name="image16.png"/>
                          <pic:cNvPicPr/>
                        </pic:nvPicPr>
                        <pic:blipFill>
                          <a:blip r:embed="rId20" cstate="print"/>
                          <a:stretch>
                            <a:fillRect/>
                          </a:stretch>
                        </pic:blipFill>
                        <pic:spPr>
                          <a:xfrm>
                            <a:off x="0" y="0"/>
                            <a:ext cx="67983" cy="116638"/>
                          </a:xfrm>
                          <a:prstGeom prst="rect">
                            <a:avLst/>
                          </a:prstGeom>
                        </pic:spPr>
                      </pic:pic>
                    </a:graphicData>
                  </a:graphic>
                </wp:inline>
              </w:drawing>
            </w:r>
            <w:r>
              <w:rPr>
                <w:spacing w:val="-25"/>
                <w:position w:val="-2"/>
                <w:sz w:val="18"/>
              </w:rPr>
            </w:r>
          </w:p>
        </w:tc>
        <w:tc>
          <w:tcPr>
            <w:tcW w:w="1304" w:type="dxa"/>
          </w:tcPr>
          <w:p>
            <w:pPr>
              <w:pStyle w:val="TableParagraph"/>
              <w:spacing w:before="131"/>
              <w:ind w:right="470"/>
              <w:jc w:val="right"/>
              <w:rPr>
                <w:sz w:val="18"/>
              </w:rPr>
            </w:pPr>
            <w:r>
              <w:rPr>
                <w:w w:val="105"/>
                <w:sz w:val="18"/>
              </w:rPr>
              <w:t>2% </w:t>
            </w:r>
            <w:r>
              <w:rPr>
                <w:spacing w:val="-25"/>
                <w:position w:val="-2"/>
                <w:sz w:val="18"/>
              </w:rPr>
              <w:drawing>
                <wp:inline distT="0" distB="0" distL="0" distR="0">
                  <wp:extent cx="67983" cy="116638"/>
                  <wp:effectExtent l="0" t="0" r="0" b="0"/>
                  <wp:docPr id="33" name="image17.png" descr=""/>
                  <wp:cNvGraphicFramePr>
                    <a:graphicFrameLocks noChangeAspect="1"/>
                  </wp:cNvGraphicFramePr>
                  <a:graphic>
                    <a:graphicData uri="http://schemas.openxmlformats.org/drawingml/2006/picture">
                      <pic:pic>
                        <pic:nvPicPr>
                          <pic:cNvPr id="34" name="image17.png"/>
                          <pic:cNvPicPr/>
                        </pic:nvPicPr>
                        <pic:blipFill>
                          <a:blip r:embed="rId21" cstate="print"/>
                          <a:stretch>
                            <a:fillRect/>
                          </a:stretch>
                        </pic:blipFill>
                        <pic:spPr>
                          <a:xfrm>
                            <a:off x="0" y="0"/>
                            <a:ext cx="67983" cy="116638"/>
                          </a:xfrm>
                          <a:prstGeom prst="rect">
                            <a:avLst/>
                          </a:prstGeom>
                        </pic:spPr>
                      </pic:pic>
                    </a:graphicData>
                  </a:graphic>
                </wp:inline>
              </w:drawing>
            </w:r>
            <w:r>
              <w:rPr>
                <w:spacing w:val="-25"/>
                <w:position w:val="-2"/>
                <w:sz w:val="18"/>
              </w:rPr>
            </w:r>
          </w:p>
        </w:tc>
        <w:tc>
          <w:tcPr>
            <w:tcW w:w="1304" w:type="dxa"/>
            <w:shd w:val="clear" w:color="auto" w:fill="E5E9F6"/>
          </w:tcPr>
          <w:p>
            <w:pPr>
              <w:pStyle w:val="TableParagraph"/>
              <w:spacing w:before="131"/>
              <w:ind w:left="471"/>
              <w:jc w:val="left"/>
              <w:rPr>
                <w:sz w:val="18"/>
              </w:rPr>
            </w:pPr>
            <w:r>
              <w:rPr>
                <w:w w:val="105"/>
                <w:sz w:val="18"/>
              </w:rPr>
              <w:t>0% </w:t>
            </w:r>
            <w:r>
              <w:rPr>
                <w:spacing w:val="-25"/>
                <w:position w:val="-2"/>
                <w:sz w:val="18"/>
              </w:rPr>
              <w:drawing>
                <wp:inline distT="0" distB="0" distL="0" distR="0">
                  <wp:extent cx="67983" cy="116638"/>
                  <wp:effectExtent l="0" t="0" r="0" b="0"/>
                  <wp:docPr id="35" name="image17.png" descr=""/>
                  <wp:cNvGraphicFramePr>
                    <a:graphicFrameLocks noChangeAspect="1"/>
                  </wp:cNvGraphicFramePr>
                  <a:graphic>
                    <a:graphicData uri="http://schemas.openxmlformats.org/drawingml/2006/picture">
                      <pic:pic>
                        <pic:nvPicPr>
                          <pic:cNvPr id="36" name="image17.png"/>
                          <pic:cNvPicPr/>
                        </pic:nvPicPr>
                        <pic:blipFill>
                          <a:blip r:embed="rId21" cstate="print"/>
                          <a:stretch>
                            <a:fillRect/>
                          </a:stretch>
                        </pic:blipFill>
                        <pic:spPr>
                          <a:xfrm>
                            <a:off x="0" y="0"/>
                            <a:ext cx="67983" cy="116638"/>
                          </a:xfrm>
                          <a:prstGeom prst="rect">
                            <a:avLst/>
                          </a:prstGeom>
                        </pic:spPr>
                      </pic:pic>
                    </a:graphicData>
                  </a:graphic>
                </wp:inline>
              </w:drawing>
            </w:r>
            <w:r>
              <w:rPr>
                <w:spacing w:val="-25"/>
                <w:position w:val="-2"/>
                <w:sz w:val="18"/>
              </w:rPr>
            </w:r>
          </w:p>
        </w:tc>
        <w:tc>
          <w:tcPr>
            <w:tcW w:w="1304" w:type="dxa"/>
          </w:tcPr>
          <w:p>
            <w:pPr>
              <w:pStyle w:val="TableParagraph"/>
              <w:spacing w:before="131"/>
              <w:ind w:left="393" w:right="393"/>
              <w:rPr>
                <w:sz w:val="18"/>
              </w:rPr>
            </w:pPr>
            <w:r>
              <w:rPr>
                <w:spacing w:val="-5"/>
                <w:w w:val="105"/>
                <w:sz w:val="18"/>
              </w:rPr>
              <w:t>1% </w:t>
            </w:r>
            <w:r>
              <w:rPr>
                <w:spacing w:val="-25"/>
                <w:position w:val="-2"/>
                <w:sz w:val="18"/>
              </w:rPr>
              <w:drawing>
                <wp:inline distT="0" distB="0" distL="0" distR="0">
                  <wp:extent cx="67983" cy="116638"/>
                  <wp:effectExtent l="0" t="0" r="0" b="0"/>
                  <wp:docPr id="37" name="image17.png" descr=""/>
                  <wp:cNvGraphicFramePr>
                    <a:graphicFrameLocks noChangeAspect="1"/>
                  </wp:cNvGraphicFramePr>
                  <a:graphic>
                    <a:graphicData uri="http://schemas.openxmlformats.org/drawingml/2006/picture">
                      <pic:pic>
                        <pic:nvPicPr>
                          <pic:cNvPr id="38" name="image17.png"/>
                          <pic:cNvPicPr/>
                        </pic:nvPicPr>
                        <pic:blipFill>
                          <a:blip r:embed="rId21" cstate="print"/>
                          <a:stretch>
                            <a:fillRect/>
                          </a:stretch>
                        </pic:blipFill>
                        <pic:spPr>
                          <a:xfrm>
                            <a:off x="0" y="0"/>
                            <a:ext cx="67983" cy="116638"/>
                          </a:xfrm>
                          <a:prstGeom prst="rect">
                            <a:avLst/>
                          </a:prstGeom>
                        </pic:spPr>
                      </pic:pic>
                    </a:graphicData>
                  </a:graphic>
                </wp:inline>
              </w:drawing>
            </w:r>
            <w:r>
              <w:rPr>
                <w:spacing w:val="-25"/>
                <w:position w:val="-2"/>
                <w:sz w:val="18"/>
              </w:rPr>
            </w:r>
          </w:p>
        </w:tc>
      </w:tr>
      <w:tr>
        <w:trPr>
          <w:trHeight w:val="453" w:hRule="atLeast"/>
        </w:trPr>
        <w:tc>
          <w:tcPr>
            <w:tcW w:w="1991" w:type="dxa"/>
            <w:shd w:val="clear" w:color="auto" w:fill="B9C9E7"/>
          </w:tcPr>
          <w:p>
            <w:pPr>
              <w:pStyle w:val="TableParagraph"/>
              <w:spacing w:before="123"/>
              <w:ind w:left="138" w:right="138"/>
              <w:rPr>
                <w:sz w:val="18"/>
              </w:rPr>
            </w:pPr>
            <w:r>
              <w:rPr>
                <w:sz w:val="18"/>
              </w:rPr>
              <w:t>Very likely</w:t>
            </w:r>
          </w:p>
        </w:tc>
        <w:tc>
          <w:tcPr>
            <w:tcW w:w="1304" w:type="dxa"/>
            <w:shd w:val="clear" w:color="auto" w:fill="E5E9F6"/>
          </w:tcPr>
          <w:p>
            <w:pPr>
              <w:pStyle w:val="TableParagraph"/>
              <w:spacing w:before="135"/>
              <w:ind w:left="393" w:right="393"/>
              <w:rPr>
                <w:sz w:val="18"/>
              </w:rPr>
            </w:pPr>
            <w:r>
              <w:rPr>
                <w:spacing w:val="-17"/>
                <w:w w:val="101"/>
                <w:sz w:val="18"/>
              </w:rPr>
              <w:t>1</w:t>
            </w:r>
            <w:r>
              <w:rPr>
                <w:spacing w:val="-10"/>
                <w:w w:val="101"/>
                <w:sz w:val="18"/>
              </w:rPr>
              <w:t>1</w:t>
            </w:r>
            <w:r>
              <w:rPr>
                <w:w w:val="110"/>
                <w:sz w:val="18"/>
              </w:rPr>
              <w:t>%</w:t>
            </w:r>
            <w:r>
              <w:rPr>
                <w:w w:val="110"/>
                <w:position w:val="-1"/>
                <w:sz w:val="18"/>
              </w:rPr>
              <w:drawing>
                <wp:inline distT="0" distB="0" distL="0" distR="0">
                  <wp:extent cx="67983" cy="116640"/>
                  <wp:effectExtent l="0" t="0" r="0" b="0"/>
                  <wp:docPr id="39" name="image18.png" descr=""/>
                  <wp:cNvGraphicFramePr>
                    <a:graphicFrameLocks noChangeAspect="1"/>
                  </wp:cNvGraphicFramePr>
                  <a:graphic>
                    <a:graphicData uri="http://schemas.openxmlformats.org/drawingml/2006/picture">
                      <pic:pic>
                        <pic:nvPicPr>
                          <pic:cNvPr id="40" name="image18.png"/>
                          <pic:cNvPicPr/>
                        </pic:nvPicPr>
                        <pic:blipFill>
                          <a:blip r:embed="rId22" cstate="print"/>
                          <a:stretch>
                            <a:fillRect/>
                          </a:stretch>
                        </pic:blipFill>
                        <pic:spPr>
                          <a:xfrm>
                            <a:off x="0" y="0"/>
                            <a:ext cx="67983" cy="116640"/>
                          </a:xfrm>
                          <a:prstGeom prst="rect">
                            <a:avLst/>
                          </a:prstGeom>
                        </pic:spPr>
                      </pic:pic>
                    </a:graphicData>
                  </a:graphic>
                </wp:inline>
              </w:drawing>
            </w:r>
            <w:r>
              <w:rPr>
                <w:w w:val="110"/>
                <w:position w:val="-1"/>
                <w:sz w:val="18"/>
              </w:rPr>
            </w:r>
          </w:p>
        </w:tc>
        <w:tc>
          <w:tcPr>
            <w:tcW w:w="1304" w:type="dxa"/>
          </w:tcPr>
          <w:p>
            <w:pPr>
              <w:pStyle w:val="TableParagraph"/>
              <w:spacing w:before="135"/>
              <w:ind w:left="439"/>
              <w:jc w:val="left"/>
              <w:rPr>
                <w:sz w:val="18"/>
              </w:rPr>
            </w:pPr>
            <w:r>
              <w:rPr>
                <w:spacing w:val="-12"/>
                <w:w w:val="101"/>
                <w:sz w:val="18"/>
              </w:rPr>
              <w:t>1</w:t>
            </w:r>
            <w:r>
              <w:rPr>
                <w:w w:val="101"/>
                <w:sz w:val="18"/>
              </w:rPr>
              <w:t>2</w:t>
            </w:r>
            <w:r>
              <w:rPr>
                <w:w w:val="110"/>
                <w:sz w:val="18"/>
              </w:rPr>
              <w:t>%</w:t>
            </w:r>
            <w:r>
              <w:rPr>
                <w:w w:val="110"/>
                <w:position w:val="-1"/>
                <w:sz w:val="18"/>
              </w:rPr>
              <w:drawing>
                <wp:inline distT="0" distB="0" distL="0" distR="0">
                  <wp:extent cx="67983" cy="116640"/>
                  <wp:effectExtent l="0" t="0" r="0" b="0"/>
                  <wp:docPr id="41" name="image19.png" descr=""/>
                  <wp:cNvGraphicFramePr>
                    <a:graphicFrameLocks noChangeAspect="1"/>
                  </wp:cNvGraphicFramePr>
                  <a:graphic>
                    <a:graphicData uri="http://schemas.openxmlformats.org/drawingml/2006/picture">
                      <pic:pic>
                        <pic:nvPicPr>
                          <pic:cNvPr id="42" name="image19.png"/>
                          <pic:cNvPicPr/>
                        </pic:nvPicPr>
                        <pic:blipFill>
                          <a:blip r:embed="rId23" cstate="print"/>
                          <a:stretch>
                            <a:fillRect/>
                          </a:stretch>
                        </pic:blipFill>
                        <pic:spPr>
                          <a:xfrm>
                            <a:off x="0" y="0"/>
                            <a:ext cx="67983" cy="116640"/>
                          </a:xfrm>
                          <a:prstGeom prst="rect">
                            <a:avLst/>
                          </a:prstGeom>
                        </pic:spPr>
                      </pic:pic>
                    </a:graphicData>
                  </a:graphic>
                </wp:inline>
              </w:drawing>
            </w:r>
            <w:r>
              <w:rPr>
                <w:w w:val="110"/>
                <w:position w:val="-1"/>
                <w:sz w:val="18"/>
              </w:rPr>
            </w:r>
          </w:p>
        </w:tc>
        <w:tc>
          <w:tcPr>
            <w:tcW w:w="1304" w:type="dxa"/>
            <w:shd w:val="clear" w:color="auto" w:fill="E5E9F6"/>
          </w:tcPr>
          <w:p>
            <w:pPr>
              <w:pStyle w:val="TableParagraph"/>
              <w:spacing w:before="131"/>
              <w:ind w:right="471"/>
              <w:jc w:val="right"/>
              <w:rPr>
                <w:sz w:val="18"/>
              </w:rPr>
            </w:pPr>
            <w:r>
              <w:rPr>
                <w:spacing w:val="-1"/>
                <w:w w:val="105"/>
                <w:sz w:val="18"/>
              </w:rPr>
              <w:t>4% </w:t>
            </w:r>
            <w:r>
              <w:rPr>
                <w:spacing w:val="-25"/>
                <w:position w:val="-2"/>
                <w:sz w:val="18"/>
              </w:rPr>
              <w:drawing>
                <wp:inline distT="0" distB="0" distL="0" distR="0">
                  <wp:extent cx="67983" cy="116639"/>
                  <wp:effectExtent l="0" t="0" r="0" b="0"/>
                  <wp:docPr id="43" name="image20.png" descr=""/>
                  <wp:cNvGraphicFramePr>
                    <a:graphicFrameLocks noChangeAspect="1"/>
                  </wp:cNvGraphicFramePr>
                  <a:graphic>
                    <a:graphicData uri="http://schemas.openxmlformats.org/drawingml/2006/picture">
                      <pic:pic>
                        <pic:nvPicPr>
                          <pic:cNvPr id="44" name="image20.png"/>
                          <pic:cNvPicPr/>
                        </pic:nvPicPr>
                        <pic:blipFill>
                          <a:blip r:embed="rId24" cstate="print"/>
                          <a:stretch>
                            <a:fillRect/>
                          </a:stretch>
                        </pic:blipFill>
                        <pic:spPr>
                          <a:xfrm>
                            <a:off x="0" y="0"/>
                            <a:ext cx="67983" cy="116639"/>
                          </a:xfrm>
                          <a:prstGeom prst="rect">
                            <a:avLst/>
                          </a:prstGeom>
                        </pic:spPr>
                      </pic:pic>
                    </a:graphicData>
                  </a:graphic>
                </wp:inline>
              </w:drawing>
            </w:r>
            <w:r>
              <w:rPr>
                <w:spacing w:val="-25"/>
                <w:position w:val="-2"/>
                <w:sz w:val="18"/>
              </w:rPr>
            </w:r>
          </w:p>
        </w:tc>
        <w:tc>
          <w:tcPr>
            <w:tcW w:w="1304" w:type="dxa"/>
          </w:tcPr>
          <w:p>
            <w:pPr>
              <w:pStyle w:val="TableParagraph"/>
              <w:spacing w:before="131"/>
              <w:ind w:left="393" w:right="393"/>
              <w:rPr>
                <w:sz w:val="18"/>
              </w:rPr>
            </w:pPr>
            <w:r>
              <w:rPr>
                <w:spacing w:val="-5"/>
                <w:w w:val="105"/>
                <w:sz w:val="18"/>
              </w:rPr>
              <w:t>1% </w:t>
            </w:r>
            <w:r>
              <w:rPr>
                <w:spacing w:val="-25"/>
                <w:position w:val="-2"/>
                <w:sz w:val="18"/>
              </w:rPr>
              <w:drawing>
                <wp:inline distT="0" distB="0" distL="0" distR="0">
                  <wp:extent cx="67983" cy="116639"/>
                  <wp:effectExtent l="0" t="0" r="0" b="0"/>
                  <wp:docPr id="45" name="image21.png" descr=""/>
                  <wp:cNvGraphicFramePr>
                    <a:graphicFrameLocks noChangeAspect="1"/>
                  </wp:cNvGraphicFramePr>
                  <a:graphic>
                    <a:graphicData uri="http://schemas.openxmlformats.org/drawingml/2006/picture">
                      <pic:pic>
                        <pic:nvPicPr>
                          <pic:cNvPr id="46" name="image21.png"/>
                          <pic:cNvPicPr/>
                        </pic:nvPicPr>
                        <pic:blipFill>
                          <a:blip r:embed="rId25" cstate="print"/>
                          <a:stretch>
                            <a:fillRect/>
                          </a:stretch>
                        </pic:blipFill>
                        <pic:spPr>
                          <a:xfrm>
                            <a:off x="0" y="0"/>
                            <a:ext cx="67983" cy="116639"/>
                          </a:xfrm>
                          <a:prstGeom prst="rect">
                            <a:avLst/>
                          </a:prstGeom>
                        </pic:spPr>
                      </pic:pic>
                    </a:graphicData>
                  </a:graphic>
                </wp:inline>
              </w:drawing>
            </w:r>
            <w:r>
              <w:rPr>
                <w:spacing w:val="-25"/>
                <w:position w:val="-2"/>
                <w:sz w:val="18"/>
              </w:rPr>
            </w:r>
          </w:p>
        </w:tc>
        <w:tc>
          <w:tcPr>
            <w:tcW w:w="1304" w:type="dxa"/>
            <w:shd w:val="clear" w:color="auto" w:fill="E5E9F6"/>
          </w:tcPr>
          <w:p>
            <w:pPr>
              <w:pStyle w:val="TableParagraph"/>
              <w:spacing w:before="131"/>
              <w:ind w:left="393" w:right="393"/>
              <w:rPr>
                <w:sz w:val="18"/>
              </w:rPr>
            </w:pPr>
            <w:r>
              <w:rPr>
                <w:w w:val="105"/>
                <w:sz w:val="18"/>
              </w:rPr>
              <w:t>0% </w:t>
            </w:r>
            <w:r>
              <w:rPr>
                <w:spacing w:val="-25"/>
                <w:position w:val="-2"/>
                <w:sz w:val="18"/>
              </w:rPr>
              <w:drawing>
                <wp:inline distT="0" distB="0" distL="0" distR="0">
                  <wp:extent cx="67983" cy="116639"/>
                  <wp:effectExtent l="0" t="0" r="0" b="0"/>
                  <wp:docPr id="47" name="image22.png" descr=""/>
                  <wp:cNvGraphicFramePr>
                    <a:graphicFrameLocks noChangeAspect="1"/>
                  </wp:cNvGraphicFramePr>
                  <a:graphic>
                    <a:graphicData uri="http://schemas.openxmlformats.org/drawingml/2006/picture">
                      <pic:pic>
                        <pic:nvPicPr>
                          <pic:cNvPr id="48" name="image22.png"/>
                          <pic:cNvPicPr/>
                        </pic:nvPicPr>
                        <pic:blipFill>
                          <a:blip r:embed="rId26" cstate="print"/>
                          <a:stretch>
                            <a:fillRect/>
                          </a:stretch>
                        </pic:blipFill>
                        <pic:spPr>
                          <a:xfrm>
                            <a:off x="0" y="0"/>
                            <a:ext cx="67983" cy="116639"/>
                          </a:xfrm>
                          <a:prstGeom prst="rect">
                            <a:avLst/>
                          </a:prstGeom>
                        </pic:spPr>
                      </pic:pic>
                    </a:graphicData>
                  </a:graphic>
                </wp:inline>
              </w:drawing>
            </w:r>
            <w:r>
              <w:rPr>
                <w:spacing w:val="-25"/>
                <w:position w:val="-2"/>
                <w:sz w:val="18"/>
              </w:rPr>
            </w:r>
          </w:p>
        </w:tc>
      </w:tr>
      <w:tr>
        <w:trPr>
          <w:trHeight w:val="453" w:hRule="atLeast"/>
        </w:trPr>
        <w:tc>
          <w:tcPr>
            <w:tcW w:w="1991" w:type="dxa"/>
            <w:shd w:val="clear" w:color="auto" w:fill="E5E9F6"/>
          </w:tcPr>
          <w:p>
            <w:pPr>
              <w:pStyle w:val="TableParagraph"/>
              <w:spacing w:line="196" w:lineRule="auto" w:before="63"/>
              <w:ind w:left="670" w:right="573" w:hanging="91"/>
              <w:jc w:val="left"/>
              <w:rPr>
                <w:sz w:val="18"/>
              </w:rPr>
            </w:pPr>
            <w:r>
              <w:rPr>
                <w:sz w:val="18"/>
              </w:rPr>
              <w:t>More likely than not</w:t>
            </w:r>
          </w:p>
        </w:tc>
        <w:tc>
          <w:tcPr>
            <w:tcW w:w="1304" w:type="dxa"/>
          </w:tcPr>
          <w:p>
            <w:pPr>
              <w:pStyle w:val="TableParagraph"/>
              <w:spacing w:before="123"/>
              <w:ind w:left="393" w:right="393"/>
              <w:rPr>
                <w:sz w:val="18"/>
              </w:rPr>
            </w:pPr>
            <w:r>
              <w:rPr>
                <w:w w:val="105"/>
                <w:sz w:val="18"/>
              </w:rPr>
              <w:t>11%</w:t>
            </w:r>
          </w:p>
        </w:tc>
        <w:tc>
          <w:tcPr>
            <w:tcW w:w="1304" w:type="dxa"/>
          </w:tcPr>
          <w:p>
            <w:pPr>
              <w:pStyle w:val="TableParagraph"/>
              <w:spacing w:before="135"/>
              <w:ind w:left="439"/>
              <w:jc w:val="left"/>
              <w:rPr>
                <w:sz w:val="18"/>
              </w:rPr>
            </w:pPr>
            <w:r>
              <w:rPr>
                <w:w w:val="105"/>
                <w:sz w:val="18"/>
              </w:rPr>
              <w:t>14%</w:t>
            </w:r>
          </w:p>
        </w:tc>
        <w:tc>
          <w:tcPr>
            <w:tcW w:w="1304" w:type="dxa"/>
          </w:tcPr>
          <w:p>
            <w:pPr>
              <w:pStyle w:val="TableParagraph"/>
              <w:spacing w:before="123"/>
              <w:ind w:right="498"/>
              <w:jc w:val="right"/>
              <w:rPr>
                <w:sz w:val="18"/>
              </w:rPr>
            </w:pPr>
            <w:r>
              <w:rPr>
                <w:w w:val="105"/>
                <w:sz w:val="18"/>
              </w:rPr>
              <w:t>11%</w:t>
            </w:r>
          </w:p>
        </w:tc>
        <w:tc>
          <w:tcPr>
            <w:tcW w:w="1304" w:type="dxa"/>
          </w:tcPr>
          <w:p>
            <w:pPr>
              <w:pStyle w:val="TableParagraph"/>
              <w:spacing w:before="131"/>
              <w:ind w:left="473"/>
              <w:jc w:val="left"/>
              <w:rPr>
                <w:sz w:val="18"/>
              </w:rPr>
            </w:pPr>
            <w:r>
              <w:rPr>
                <w:w w:val="105"/>
                <w:sz w:val="18"/>
              </w:rPr>
              <w:t>3%</w:t>
            </w:r>
          </w:p>
        </w:tc>
        <w:tc>
          <w:tcPr>
            <w:tcW w:w="1304" w:type="dxa"/>
          </w:tcPr>
          <w:p>
            <w:pPr>
              <w:pStyle w:val="TableParagraph"/>
              <w:spacing w:before="131"/>
              <w:ind w:left="272" w:right="393"/>
              <w:rPr>
                <w:sz w:val="18"/>
              </w:rPr>
            </w:pPr>
            <w:r>
              <w:rPr>
                <w:w w:val="105"/>
                <w:sz w:val="18"/>
              </w:rPr>
              <w:t>2%</w:t>
            </w:r>
          </w:p>
        </w:tc>
      </w:tr>
      <w:tr>
        <w:trPr>
          <w:trHeight w:val="453" w:hRule="atLeast"/>
        </w:trPr>
        <w:tc>
          <w:tcPr>
            <w:tcW w:w="1991" w:type="dxa"/>
            <w:shd w:val="clear" w:color="auto" w:fill="B9C9E7"/>
          </w:tcPr>
          <w:p>
            <w:pPr>
              <w:pStyle w:val="TableParagraph"/>
              <w:spacing w:before="123"/>
              <w:ind w:left="138" w:right="138"/>
              <w:rPr>
                <w:sz w:val="18"/>
              </w:rPr>
            </w:pPr>
            <w:r>
              <w:rPr>
                <w:sz w:val="18"/>
              </w:rPr>
              <w:t>More unlikely than not</w:t>
            </w:r>
          </w:p>
        </w:tc>
        <w:tc>
          <w:tcPr>
            <w:tcW w:w="1304" w:type="dxa"/>
            <w:shd w:val="clear" w:color="auto" w:fill="E5E9F6"/>
          </w:tcPr>
          <w:p>
            <w:pPr>
              <w:pStyle w:val="TableParagraph"/>
              <w:spacing w:before="123"/>
              <w:ind w:left="393" w:right="390"/>
              <w:rPr>
                <w:sz w:val="18"/>
              </w:rPr>
            </w:pPr>
            <w:r>
              <w:rPr>
                <w:w w:val="105"/>
                <w:sz w:val="18"/>
              </w:rPr>
              <w:t>9%</w:t>
            </w:r>
          </w:p>
        </w:tc>
        <w:tc>
          <w:tcPr>
            <w:tcW w:w="1304" w:type="dxa"/>
          </w:tcPr>
          <w:p>
            <w:pPr>
              <w:pStyle w:val="TableParagraph"/>
              <w:spacing w:before="123"/>
              <w:ind w:left="501"/>
              <w:jc w:val="left"/>
              <w:rPr>
                <w:sz w:val="18"/>
              </w:rPr>
            </w:pPr>
            <w:r>
              <w:rPr>
                <w:w w:val="105"/>
                <w:sz w:val="18"/>
              </w:rPr>
              <w:t>11%</w:t>
            </w:r>
          </w:p>
        </w:tc>
        <w:tc>
          <w:tcPr>
            <w:tcW w:w="1304" w:type="dxa"/>
            <w:shd w:val="clear" w:color="auto" w:fill="E5E9F6"/>
          </w:tcPr>
          <w:p>
            <w:pPr>
              <w:pStyle w:val="TableParagraph"/>
              <w:spacing w:before="135"/>
              <w:ind w:right="438"/>
              <w:jc w:val="right"/>
              <w:rPr>
                <w:sz w:val="18"/>
              </w:rPr>
            </w:pPr>
            <w:r>
              <w:rPr>
                <w:spacing w:val="-11"/>
                <w:w w:val="101"/>
                <w:sz w:val="18"/>
              </w:rPr>
              <w:t>1</w:t>
            </w:r>
            <w:r>
              <w:rPr>
                <w:spacing w:val="-2"/>
                <w:w w:val="101"/>
                <w:sz w:val="18"/>
              </w:rPr>
              <w:t>3</w:t>
            </w:r>
            <w:r>
              <w:rPr>
                <w:w w:val="110"/>
                <w:sz w:val="18"/>
              </w:rPr>
              <w:t>%</w:t>
            </w:r>
            <w:r>
              <w:rPr>
                <w:w w:val="110"/>
                <w:position w:val="-1"/>
                <w:sz w:val="18"/>
              </w:rPr>
              <w:drawing>
                <wp:inline distT="0" distB="0" distL="0" distR="0">
                  <wp:extent cx="67983" cy="116636"/>
                  <wp:effectExtent l="0" t="0" r="0" b="0"/>
                  <wp:docPr id="49" name="image23.png" descr=""/>
                  <wp:cNvGraphicFramePr>
                    <a:graphicFrameLocks noChangeAspect="1"/>
                  </wp:cNvGraphicFramePr>
                  <a:graphic>
                    <a:graphicData uri="http://schemas.openxmlformats.org/drawingml/2006/picture">
                      <pic:pic>
                        <pic:nvPicPr>
                          <pic:cNvPr id="50" name="image23.png"/>
                          <pic:cNvPicPr/>
                        </pic:nvPicPr>
                        <pic:blipFill>
                          <a:blip r:embed="rId27" cstate="print"/>
                          <a:stretch>
                            <a:fillRect/>
                          </a:stretch>
                        </pic:blipFill>
                        <pic:spPr>
                          <a:xfrm>
                            <a:off x="0" y="0"/>
                            <a:ext cx="67983" cy="116636"/>
                          </a:xfrm>
                          <a:prstGeom prst="rect">
                            <a:avLst/>
                          </a:prstGeom>
                        </pic:spPr>
                      </pic:pic>
                    </a:graphicData>
                  </a:graphic>
                </wp:inline>
              </w:drawing>
            </w:r>
            <w:r>
              <w:rPr>
                <w:w w:val="110"/>
                <w:position w:val="-1"/>
                <w:sz w:val="18"/>
              </w:rPr>
            </w:r>
          </w:p>
        </w:tc>
        <w:tc>
          <w:tcPr>
            <w:tcW w:w="1304" w:type="dxa"/>
          </w:tcPr>
          <w:p>
            <w:pPr>
              <w:pStyle w:val="TableParagraph"/>
              <w:spacing w:before="123"/>
              <w:ind w:left="393" w:right="393"/>
              <w:rPr>
                <w:sz w:val="18"/>
              </w:rPr>
            </w:pPr>
            <w:r>
              <w:rPr>
                <w:w w:val="105"/>
                <w:sz w:val="18"/>
              </w:rPr>
              <w:t>7%</w:t>
            </w:r>
          </w:p>
        </w:tc>
        <w:tc>
          <w:tcPr>
            <w:tcW w:w="1304" w:type="dxa"/>
            <w:shd w:val="clear" w:color="auto" w:fill="E5E9F6"/>
          </w:tcPr>
          <w:p>
            <w:pPr>
              <w:pStyle w:val="TableParagraph"/>
              <w:spacing w:before="131"/>
              <w:ind w:left="393" w:right="393"/>
              <w:rPr>
                <w:sz w:val="18"/>
              </w:rPr>
            </w:pPr>
            <w:r>
              <w:rPr>
                <w:w w:val="105"/>
                <w:sz w:val="18"/>
              </w:rPr>
              <w:t>2% </w:t>
            </w:r>
            <w:r>
              <w:rPr>
                <w:spacing w:val="-25"/>
                <w:position w:val="-2"/>
                <w:sz w:val="18"/>
              </w:rPr>
              <w:drawing>
                <wp:inline distT="0" distB="0" distL="0" distR="0">
                  <wp:extent cx="67983" cy="116644"/>
                  <wp:effectExtent l="0" t="0" r="0" b="0"/>
                  <wp:docPr id="51" name="image24.png" descr=""/>
                  <wp:cNvGraphicFramePr>
                    <a:graphicFrameLocks noChangeAspect="1"/>
                  </wp:cNvGraphicFramePr>
                  <a:graphic>
                    <a:graphicData uri="http://schemas.openxmlformats.org/drawingml/2006/picture">
                      <pic:pic>
                        <pic:nvPicPr>
                          <pic:cNvPr id="52" name="image24.png"/>
                          <pic:cNvPicPr/>
                        </pic:nvPicPr>
                        <pic:blipFill>
                          <a:blip r:embed="rId28" cstate="print"/>
                          <a:stretch>
                            <a:fillRect/>
                          </a:stretch>
                        </pic:blipFill>
                        <pic:spPr>
                          <a:xfrm>
                            <a:off x="0" y="0"/>
                            <a:ext cx="67983" cy="116644"/>
                          </a:xfrm>
                          <a:prstGeom prst="rect">
                            <a:avLst/>
                          </a:prstGeom>
                        </pic:spPr>
                      </pic:pic>
                    </a:graphicData>
                  </a:graphic>
                </wp:inline>
              </w:drawing>
            </w:r>
            <w:r>
              <w:rPr>
                <w:spacing w:val="-25"/>
                <w:position w:val="-2"/>
                <w:sz w:val="18"/>
              </w:rPr>
            </w:r>
          </w:p>
        </w:tc>
      </w:tr>
      <w:tr>
        <w:trPr>
          <w:trHeight w:val="453" w:hRule="atLeast"/>
        </w:trPr>
        <w:tc>
          <w:tcPr>
            <w:tcW w:w="1991" w:type="dxa"/>
            <w:shd w:val="clear" w:color="auto" w:fill="E5E9F6"/>
          </w:tcPr>
          <w:p>
            <w:pPr>
              <w:pStyle w:val="TableParagraph"/>
              <w:spacing w:before="123"/>
              <w:ind w:left="138" w:right="138"/>
              <w:rPr>
                <w:sz w:val="18"/>
              </w:rPr>
            </w:pPr>
            <w:r>
              <w:rPr>
                <w:sz w:val="18"/>
              </w:rPr>
              <w:t>Very unlikely</w:t>
            </w:r>
          </w:p>
        </w:tc>
        <w:tc>
          <w:tcPr>
            <w:tcW w:w="1304" w:type="dxa"/>
          </w:tcPr>
          <w:p>
            <w:pPr>
              <w:pStyle w:val="TableParagraph"/>
              <w:spacing w:before="123"/>
              <w:ind w:left="393" w:right="393"/>
              <w:rPr>
                <w:sz w:val="18"/>
              </w:rPr>
            </w:pPr>
            <w:r>
              <w:rPr>
                <w:w w:val="105"/>
                <w:sz w:val="18"/>
              </w:rPr>
              <w:t>16%</w:t>
            </w:r>
          </w:p>
        </w:tc>
        <w:tc>
          <w:tcPr>
            <w:tcW w:w="1304" w:type="dxa"/>
            <w:shd w:val="clear" w:color="auto" w:fill="E5E9F6"/>
          </w:tcPr>
          <w:p>
            <w:pPr>
              <w:pStyle w:val="TableParagraph"/>
              <w:spacing w:before="123"/>
              <w:ind w:left="487"/>
              <w:jc w:val="left"/>
              <w:rPr>
                <w:sz w:val="18"/>
              </w:rPr>
            </w:pPr>
            <w:r>
              <w:rPr>
                <w:w w:val="105"/>
                <w:sz w:val="18"/>
              </w:rPr>
              <w:t>20%</w:t>
            </w:r>
          </w:p>
        </w:tc>
        <w:tc>
          <w:tcPr>
            <w:tcW w:w="1304" w:type="dxa"/>
          </w:tcPr>
          <w:p>
            <w:pPr>
              <w:pStyle w:val="TableParagraph"/>
              <w:spacing w:before="123"/>
              <w:ind w:right="488"/>
              <w:jc w:val="right"/>
              <w:rPr>
                <w:sz w:val="18"/>
              </w:rPr>
            </w:pPr>
            <w:r>
              <w:rPr>
                <w:w w:val="105"/>
                <w:sz w:val="18"/>
              </w:rPr>
              <w:t>19%</w:t>
            </w:r>
          </w:p>
        </w:tc>
        <w:tc>
          <w:tcPr>
            <w:tcW w:w="1304" w:type="dxa"/>
            <w:shd w:val="clear" w:color="auto" w:fill="E5E9F6"/>
          </w:tcPr>
          <w:p>
            <w:pPr>
              <w:pStyle w:val="TableParagraph"/>
              <w:spacing w:before="135"/>
              <w:ind w:left="435"/>
              <w:jc w:val="left"/>
              <w:rPr>
                <w:sz w:val="18"/>
              </w:rPr>
            </w:pPr>
            <w:r>
              <w:rPr>
                <w:spacing w:val="-2"/>
                <w:w w:val="101"/>
                <w:sz w:val="18"/>
              </w:rPr>
              <w:t>2</w:t>
            </w:r>
            <w:r>
              <w:rPr>
                <w:spacing w:val="-1"/>
                <w:w w:val="101"/>
                <w:sz w:val="18"/>
              </w:rPr>
              <w:t>6</w:t>
            </w:r>
            <w:r>
              <w:rPr>
                <w:w w:val="110"/>
                <w:sz w:val="18"/>
              </w:rPr>
              <w:t>%</w:t>
            </w:r>
            <w:r>
              <w:rPr>
                <w:w w:val="110"/>
                <w:position w:val="-1"/>
                <w:sz w:val="18"/>
              </w:rPr>
              <w:drawing>
                <wp:inline distT="0" distB="0" distL="0" distR="0">
                  <wp:extent cx="67983" cy="116634"/>
                  <wp:effectExtent l="0" t="0" r="0" b="0"/>
                  <wp:docPr id="53" name="image25.png" descr=""/>
                  <wp:cNvGraphicFramePr>
                    <a:graphicFrameLocks noChangeAspect="1"/>
                  </wp:cNvGraphicFramePr>
                  <a:graphic>
                    <a:graphicData uri="http://schemas.openxmlformats.org/drawingml/2006/picture">
                      <pic:pic>
                        <pic:nvPicPr>
                          <pic:cNvPr id="54" name="image25.png"/>
                          <pic:cNvPicPr/>
                        </pic:nvPicPr>
                        <pic:blipFill>
                          <a:blip r:embed="rId29" cstate="print"/>
                          <a:stretch>
                            <a:fillRect/>
                          </a:stretch>
                        </pic:blipFill>
                        <pic:spPr>
                          <a:xfrm>
                            <a:off x="0" y="0"/>
                            <a:ext cx="67983" cy="116634"/>
                          </a:xfrm>
                          <a:prstGeom prst="rect">
                            <a:avLst/>
                          </a:prstGeom>
                        </pic:spPr>
                      </pic:pic>
                    </a:graphicData>
                  </a:graphic>
                </wp:inline>
              </w:drawing>
            </w:r>
            <w:r>
              <w:rPr>
                <w:w w:val="110"/>
                <w:position w:val="-1"/>
                <w:sz w:val="18"/>
              </w:rPr>
            </w:r>
          </w:p>
        </w:tc>
        <w:tc>
          <w:tcPr>
            <w:tcW w:w="1304" w:type="dxa"/>
          </w:tcPr>
          <w:p>
            <w:pPr>
              <w:pStyle w:val="TableParagraph"/>
              <w:spacing w:before="131"/>
              <w:ind w:left="393" w:right="393"/>
              <w:rPr>
                <w:sz w:val="18"/>
              </w:rPr>
            </w:pPr>
            <w:r>
              <w:rPr>
                <w:w w:val="105"/>
                <w:sz w:val="18"/>
              </w:rPr>
              <w:t>9% </w:t>
            </w:r>
            <w:r>
              <w:rPr>
                <w:spacing w:val="-25"/>
                <w:position w:val="-2"/>
                <w:sz w:val="18"/>
              </w:rPr>
              <w:drawing>
                <wp:inline distT="0" distB="0" distL="0" distR="0">
                  <wp:extent cx="67983" cy="116632"/>
                  <wp:effectExtent l="0" t="0" r="0" b="0"/>
                  <wp:docPr id="55" name="image26.png" descr=""/>
                  <wp:cNvGraphicFramePr>
                    <a:graphicFrameLocks noChangeAspect="1"/>
                  </wp:cNvGraphicFramePr>
                  <a:graphic>
                    <a:graphicData uri="http://schemas.openxmlformats.org/drawingml/2006/picture">
                      <pic:pic>
                        <pic:nvPicPr>
                          <pic:cNvPr id="56" name="image26.png"/>
                          <pic:cNvPicPr/>
                        </pic:nvPicPr>
                        <pic:blipFill>
                          <a:blip r:embed="rId30" cstate="print"/>
                          <a:stretch>
                            <a:fillRect/>
                          </a:stretch>
                        </pic:blipFill>
                        <pic:spPr>
                          <a:xfrm>
                            <a:off x="0" y="0"/>
                            <a:ext cx="67983" cy="116632"/>
                          </a:xfrm>
                          <a:prstGeom prst="rect">
                            <a:avLst/>
                          </a:prstGeom>
                        </pic:spPr>
                      </pic:pic>
                    </a:graphicData>
                  </a:graphic>
                </wp:inline>
              </w:drawing>
            </w:r>
            <w:r>
              <w:rPr>
                <w:spacing w:val="-25"/>
                <w:position w:val="-2"/>
                <w:sz w:val="18"/>
              </w:rPr>
            </w:r>
          </w:p>
        </w:tc>
      </w:tr>
      <w:tr>
        <w:trPr>
          <w:trHeight w:val="453" w:hRule="atLeast"/>
        </w:trPr>
        <w:tc>
          <w:tcPr>
            <w:tcW w:w="1991" w:type="dxa"/>
            <w:shd w:val="clear" w:color="auto" w:fill="B9C9E7"/>
          </w:tcPr>
          <w:p>
            <w:pPr>
              <w:pStyle w:val="TableParagraph"/>
              <w:spacing w:before="123"/>
              <w:ind w:left="138" w:right="138"/>
              <w:rPr>
                <w:sz w:val="18"/>
              </w:rPr>
            </w:pPr>
            <w:r>
              <w:rPr>
                <w:sz w:val="18"/>
              </w:rPr>
              <w:t>Virtually certain not to</w:t>
            </w:r>
          </w:p>
        </w:tc>
        <w:tc>
          <w:tcPr>
            <w:tcW w:w="1304" w:type="dxa"/>
            <w:shd w:val="clear" w:color="auto" w:fill="E5E9F6"/>
          </w:tcPr>
          <w:p>
            <w:pPr>
              <w:pStyle w:val="TableParagraph"/>
              <w:spacing w:before="131"/>
              <w:ind w:left="393" w:right="393"/>
              <w:rPr>
                <w:sz w:val="18"/>
              </w:rPr>
            </w:pPr>
            <w:r>
              <w:rPr>
                <w:w w:val="105"/>
                <w:sz w:val="18"/>
              </w:rPr>
              <w:t>34% </w:t>
            </w:r>
            <w:r>
              <w:rPr>
                <w:spacing w:val="-25"/>
                <w:position w:val="-2"/>
                <w:sz w:val="18"/>
              </w:rPr>
              <w:drawing>
                <wp:inline distT="0" distB="0" distL="0" distR="0">
                  <wp:extent cx="67983" cy="116635"/>
                  <wp:effectExtent l="0" t="0" r="0" b="0"/>
                  <wp:docPr id="57" name="image27.png" descr=""/>
                  <wp:cNvGraphicFramePr>
                    <a:graphicFrameLocks noChangeAspect="1"/>
                  </wp:cNvGraphicFramePr>
                  <a:graphic>
                    <a:graphicData uri="http://schemas.openxmlformats.org/drawingml/2006/picture">
                      <pic:pic>
                        <pic:nvPicPr>
                          <pic:cNvPr id="58" name="image27.png"/>
                          <pic:cNvPicPr/>
                        </pic:nvPicPr>
                        <pic:blipFill>
                          <a:blip r:embed="rId31" cstate="print"/>
                          <a:stretch>
                            <a:fillRect/>
                          </a:stretch>
                        </pic:blipFill>
                        <pic:spPr>
                          <a:xfrm>
                            <a:off x="0" y="0"/>
                            <a:ext cx="67983" cy="116635"/>
                          </a:xfrm>
                          <a:prstGeom prst="rect">
                            <a:avLst/>
                          </a:prstGeom>
                        </pic:spPr>
                      </pic:pic>
                    </a:graphicData>
                  </a:graphic>
                </wp:inline>
              </w:drawing>
            </w:r>
            <w:r>
              <w:rPr>
                <w:spacing w:val="-25"/>
                <w:position w:val="-2"/>
                <w:sz w:val="18"/>
              </w:rPr>
            </w:r>
          </w:p>
        </w:tc>
        <w:tc>
          <w:tcPr>
            <w:tcW w:w="1304" w:type="dxa"/>
          </w:tcPr>
          <w:p>
            <w:pPr>
              <w:pStyle w:val="TableParagraph"/>
              <w:spacing w:before="131"/>
              <w:ind w:left="436"/>
              <w:jc w:val="left"/>
              <w:rPr>
                <w:sz w:val="18"/>
              </w:rPr>
            </w:pPr>
            <w:r>
              <w:rPr>
                <w:spacing w:val="-7"/>
                <w:w w:val="105"/>
                <w:sz w:val="18"/>
              </w:rPr>
              <w:t>41% </w:t>
            </w:r>
            <w:r>
              <w:rPr>
                <w:spacing w:val="-25"/>
                <w:position w:val="-2"/>
                <w:sz w:val="18"/>
              </w:rPr>
              <w:drawing>
                <wp:inline distT="0" distB="0" distL="0" distR="0">
                  <wp:extent cx="67983" cy="116635"/>
                  <wp:effectExtent l="0" t="0" r="0" b="0"/>
                  <wp:docPr id="59" name="image28.png" descr=""/>
                  <wp:cNvGraphicFramePr>
                    <a:graphicFrameLocks noChangeAspect="1"/>
                  </wp:cNvGraphicFramePr>
                  <a:graphic>
                    <a:graphicData uri="http://schemas.openxmlformats.org/drawingml/2006/picture">
                      <pic:pic>
                        <pic:nvPicPr>
                          <pic:cNvPr id="60" name="image28.png"/>
                          <pic:cNvPicPr/>
                        </pic:nvPicPr>
                        <pic:blipFill>
                          <a:blip r:embed="rId32" cstate="print"/>
                          <a:stretch>
                            <a:fillRect/>
                          </a:stretch>
                        </pic:blipFill>
                        <pic:spPr>
                          <a:xfrm>
                            <a:off x="0" y="0"/>
                            <a:ext cx="67983" cy="116635"/>
                          </a:xfrm>
                          <a:prstGeom prst="rect">
                            <a:avLst/>
                          </a:prstGeom>
                        </pic:spPr>
                      </pic:pic>
                    </a:graphicData>
                  </a:graphic>
                </wp:inline>
              </w:drawing>
            </w:r>
            <w:r>
              <w:rPr>
                <w:spacing w:val="-25"/>
                <w:position w:val="-2"/>
                <w:sz w:val="18"/>
              </w:rPr>
            </w:r>
          </w:p>
        </w:tc>
        <w:tc>
          <w:tcPr>
            <w:tcW w:w="1304" w:type="dxa"/>
            <w:shd w:val="clear" w:color="auto" w:fill="C4D0EB"/>
          </w:tcPr>
          <w:p>
            <w:pPr>
              <w:pStyle w:val="TableParagraph"/>
              <w:spacing w:before="123"/>
              <w:ind w:right="502"/>
              <w:jc w:val="right"/>
              <w:rPr>
                <w:sz w:val="18"/>
              </w:rPr>
            </w:pPr>
            <w:r>
              <w:rPr>
                <w:w w:val="105"/>
                <w:sz w:val="18"/>
              </w:rPr>
              <w:t>51%</w:t>
            </w:r>
          </w:p>
        </w:tc>
        <w:tc>
          <w:tcPr>
            <w:tcW w:w="1304" w:type="dxa"/>
          </w:tcPr>
          <w:p>
            <w:pPr>
              <w:pStyle w:val="TableParagraph"/>
              <w:spacing w:before="135"/>
              <w:ind w:left="434"/>
              <w:jc w:val="left"/>
              <w:rPr>
                <w:sz w:val="18"/>
              </w:rPr>
            </w:pPr>
            <w:r>
              <w:rPr>
                <w:spacing w:val="-2"/>
                <w:w w:val="101"/>
                <w:sz w:val="18"/>
              </w:rPr>
              <w:t>6</w:t>
            </w:r>
            <w:r>
              <w:rPr>
                <w:w w:val="101"/>
                <w:sz w:val="18"/>
              </w:rPr>
              <w:t>2</w:t>
            </w:r>
            <w:r>
              <w:rPr>
                <w:w w:val="110"/>
                <w:sz w:val="18"/>
              </w:rPr>
              <w:t>%</w:t>
            </w:r>
            <w:r>
              <w:rPr>
                <w:w w:val="110"/>
                <w:position w:val="-1"/>
                <w:sz w:val="18"/>
              </w:rPr>
              <w:drawing>
                <wp:inline distT="0" distB="0" distL="0" distR="0">
                  <wp:extent cx="67983" cy="116632"/>
                  <wp:effectExtent l="0" t="0" r="0" b="0"/>
                  <wp:docPr id="61" name="image29.png" descr=""/>
                  <wp:cNvGraphicFramePr>
                    <a:graphicFrameLocks noChangeAspect="1"/>
                  </wp:cNvGraphicFramePr>
                  <a:graphic>
                    <a:graphicData uri="http://schemas.openxmlformats.org/drawingml/2006/picture">
                      <pic:pic>
                        <pic:nvPicPr>
                          <pic:cNvPr id="62" name="image29.png"/>
                          <pic:cNvPicPr/>
                        </pic:nvPicPr>
                        <pic:blipFill>
                          <a:blip r:embed="rId33" cstate="print"/>
                          <a:stretch>
                            <a:fillRect/>
                          </a:stretch>
                        </pic:blipFill>
                        <pic:spPr>
                          <a:xfrm>
                            <a:off x="0" y="0"/>
                            <a:ext cx="67983" cy="116632"/>
                          </a:xfrm>
                          <a:prstGeom prst="rect">
                            <a:avLst/>
                          </a:prstGeom>
                        </pic:spPr>
                      </pic:pic>
                    </a:graphicData>
                  </a:graphic>
                </wp:inline>
              </w:drawing>
            </w:r>
            <w:r>
              <w:rPr>
                <w:w w:val="110"/>
                <w:position w:val="-1"/>
                <w:sz w:val="18"/>
              </w:rPr>
            </w:r>
          </w:p>
        </w:tc>
        <w:tc>
          <w:tcPr>
            <w:tcW w:w="1304" w:type="dxa"/>
            <w:shd w:val="clear" w:color="auto" w:fill="E5E9F6"/>
          </w:tcPr>
          <w:p>
            <w:pPr>
              <w:pStyle w:val="TableParagraph"/>
              <w:spacing w:before="135"/>
              <w:ind w:left="393" w:right="393"/>
              <w:rPr>
                <w:sz w:val="18"/>
              </w:rPr>
            </w:pPr>
            <w:r>
              <w:rPr>
                <w:spacing w:val="1"/>
                <w:w w:val="101"/>
                <w:sz w:val="18"/>
              </w:rPr>
              <w:t>8</w:t>
            </w:r>
            <w:r>
              <w:rPr>
                <w:spacing w:val="-1"/>
                <w:w w:val="106"/>
                <w:sz w:val="18"/>
              </w:rPr>
              <w:t>6</w:t>
            </w:r>
            <w:r>
              <w:rPr>
                <w:w w:val="106"/>
                <w:sz w:val="18"/>
              </w:rPr>
              <w:t>%</w:t>
            </w:r>
            <w:r>
              <w:rPr>
                <w:w w:val="106"/>
                <w:position w:val="-1"/>
                <w:sz w:val="18"/>
              </w:rPr>
              <w:drawing>
                <wp:inline distT="0" distB="0" distL="0" distR="0">
                  <wp:extent cx="67983" cy="116632"/>
                  <wp:effectExtent l="0" t="0" r="0" b="0"/>
                  <wp:docPr id="63" name="image30.png" descr=""/>
                  <wp:cNvGraphicFramePr>
                    <a:graphicFrameLocks noChangeAspect="1"/>
                  </wp:cNvGraphicFramePr>
                  <a:graphic>
                    <a:graphicData uri="http://schemas.openxmlformats.org/drawingml/2006/picture">
                      <pic:pic>
                        <pic:nvPicPr>
                          <pic:cNvPr id="64" name="image30.png"/>
                          <pic:cNvPicPr/>
                        </pic:nvPicPr>
                        <pic:blipFill>
                          <a:blip r:embed="rId34" cstate="print"/>
                          <a:stretch>
                            <a:fillRect/>
                          </a:stretch>
                        </pic:blipFill>
                        <pic:spPr>
                          <a:xfrm>
                            <a:off x="0" y="0"/>
                            <a:ext cx="67983" cy="116632"/>
                          </a:xfrm>
                          <a:prstGeom prst="rect">
                            <a:avLst/>
                          </a:prstGeom>
                        </pic:spPr>
                      </pic:pic>
                    </a:graphicData>
                  </a:graphic>
                </wp:inline>
              </w:drawing>
            </w:r>
            <w:r>
              <w:rPr>
                <w:w w:val="106"/>
                <w:position w:val="-1"/>
                <w:sz w:val="18"/>
              </w:rPr>
            </w:r>
          </w:p>
        </w:tc>
      </w:tr>
    </w:tbl>
    <w:p>
      <w:pPr>
        <w:pStyle w:val="BodyText"/>
        <w:spacing w:before="1"/>
        <w:rPr>
          <w:rFonts w:ascii="Arial"/>
          <w:sz w:val="20"/>
        </w:rPr>
      </w:pPr>
    </w:p>
    <w:p>
      <w:pPr>
        <w:pStyle w:val="BodyText"/>
        <w:spacing w:line="283" w:lineRule="auto" w:before="1"/>
        <w:ind w:left="1700" w:right="1735"/>
      </w:pPr>
      <w:r>
        <w:rPr>
          <w:spacing w:val="-10"/>
        </w:rPr>
        <w:t>Q11.</w:t>
      </w:r>
      <w:r>
        <w:rPr>
          <w:spacing w:val="-13"/>
        </w:rPr>
        <w:t> </w:t>
      </w:r>
      <w:r>
        <w:rPr/>
        <w:t>If</w:t>
      </w:r>
      <w:r>
        <w:rPr>
          <w:spacing w:val="-13"/>
        </w:rPr>
        <w:t> </w:t>
      </w:r>
      <w:r>
        <w:rPr/>
        <w:t>you</w:t>
      </w:r>
      <w:r>
        <w:rPr>
          <w:spacing w:val="-13"/>
        </w:rPr>
        <w:t> </w:t>
      </w:r>
      <w:r>
        <w:rPr/>
        <w:t>wanted</w:t>
      </w:r>
      <w:r>
        <w:rPr>
          <w:spacing w:val="-13"/>
        </w:rPr>
        <w:t> </w:t>
      </w:r>
      <w:r>
        <w:rPr/>
        <w:t>asbestos</w:t>
      </w:r>
      <w:r>
        <w:rPr>
          <w:spacing w:val="-13"/>
        </w:rPr>
        <w:t> </w:t>
      </w:r>
      <w:r>
        <w:rPr/>
        <w:t>removed</w:t>
      </w:r>
      <w:r>
        <w:rPr>
          <w:spacing w:val="-13"/>
        </w:rPr>
        <w:t> </w:t>
      </w:r>
      <w:r>
        <w:rPr/>
        <w:t>from</w:t>
      </w:r>
      <w:r>
        <w:rPr>
          <w:spacing w:val="-13"/>
        </w:rPr>
        <w:t> </w:t>
      </w:r>
      <w:r>
        <w:rPr/>
        <w:t>your</w:t>
      </w:r>
      <w:r>
        <w:rPr>
          <w:spacing w:val="-13"/>
        </w:rPr>
        <w:t> </w:t>
      </w:r>
      <w:r>
        <w:rPr/>
        <w:t>home,</w:t>
      </w:r>
      <w:r>
        <w:rPr>
          <w:spacing w:val="-13"/>
        </w:rPr>
        <w:t> </w:t>
      </w:r>
      <w:r>
        <w:rPr/>
        <w:t>how</w:t>
      </w:r>
      <w:r>
        <w:rPr>
          <w:spacing w:val="-13"/>
        </w:rPr>
        <w:t> </w:t>
      </w:r>
      <w:r>
        <w:rPr/>
        <w:t>likely</w:t>
      </w:r>
      <w:r>
        <w:rPr>
          <w:spacing w:val="-13"/>
        </w:rPr>
        <w:t> </w:t>
      </w:r>
      <w:r>
        <w:rPr/>
        <w:t>would</w:t>
      </w:r>
      <w:r>
        <w:rPr>
          <w:spacing w:val="-13"/>
        </w:rPr>
        <w:t> </w:t>
      </w:r>
      <w:r>
        <w:rPr/>
        <w:t>you</w:t>
      </w:r>
      <w:r>
        <w:rPr>
          <w:spacing w:val="-13"/>
        </w:rPr>
        <w:t> </w:t>
      </w:r>
      <w:r>
        <w:rPr/>
        <w:t>be</w:t>
      </w:r>
      <w:r>
        <w:rPr>
          <w:spacing w:val="-13"/>
        </w:rPr>
        <w:t> </w:t>
      </w:r>
      <w:r>
        <w:rPr/>
        <w:t>to</w:t>
      </w:r>
      <w:r>
        <w:rPr>
          <w:spacing w:val="-13"/>
        </w:rPr>
        <w:t> </w:t>
      </w:r>
      <w:r>
        <w:rPr/>
        <w:t>do</w:t>
      </w:r>
      <w:r>
        <w:rPr>
          <w:spacing w:val="-13"/>
        </w:rPr>
        <w:t> </w:t>
      </w:r>
      <w:r>
        <w:rPr/>
        <w:t>this</w:t>
      </w:r>
      <w:r>
        <w:rPr>
          <w:spacing w:val="-13"/>
        </w:rPr>
        <w:t> </w:t>
      </w:r>
      <w:r>
        <w:rPr/>
        <w:t>work</w:t>
      </w:r>
      <w:r>
        <w:rPr>
          <w:spacing w:val="-13"/>
        </w:rPr>
        <w:t> </w:t>
      </w:r>
      <w:r>
        <w:rPr/>
        <w:t>yourself?</w:t>
      </w:r>
      <w:r>
        <w:rPr>
          <w:spacing w:val="-13"/>
        </w:rPr>
        <w:t> </w:t>
      </w:r>
      <w:r>
        <w:rPr/>
        <w:t>Base:</w:t>
      </w:r>
      <w:r>
        <w:rPr>
          <w:spacing w:val="-13"/>
        </w:rPr>
        <w:t> </w:t>
      </w:r>
      <w:r>
        <w:rPr>
          <w:spacing w:val="-3"/>
        </w:rPr>
        <w:t>Total </w:t>
      </w:r>
      <w:r>
        <w:rPr/>
        <w:t>sample,</w:t>
      </w:r>
      <w:r>
        <w:rPr>
          <w:spacing w:val="-3"/>
        </w:rPr>
        <w:t> n=2,036</w:t>
      </w:r>
    </w:p>
    <w:p>
      <w:pPr>
        <w:pStyle w:val="BodyText"/>
        <w:spacing w:before="1"/>
        <w:ind w:left="1700"/>
      </w:pPr>
      <w:r>
        <w:rPr/>
        <w:t>Q12. How would you rate your home maintenance/DIY skills? Base: Total sample, n=2,036</w:t>
      </w:r>
    </w:p>
    <w:p>
      <w:pPr>
        <w:pStyle w:val="BodyText"/>
        <w:spacing w:line="283" w:lineRule="auto" w:before="40"/>
        <w:ind w:left="1700" w:right="1735"/>
      </w:pPr>
      <w:r>
        <w:rPr/>
        <w:t>Significant</w:t>
      </w:r>
      <w:r>
        <w:rPr>
          <w:spacing w:val="-15"/>
        </w:rPr>
        <w:t> </w:t>
      </w:r>
      <w:r>
        <w:rPr/>
        <w:t>differences</w:t>
      </w:r>
      <w:r>
        <w:rPr>
          <w:spacing w:val="-15"/>
        </w:rPr>
        <w:t> </w:t>
      </w:r>
      <w:r>
        <w:rPr/>
        <w:t>are</w:t>
      </w:r>
      <w:r>
        <w:rPr>
          <w:spacing w:val="-15"/>
        </w:rPr>
        <w:t> </w:t>
      </w:r>
      <w:r>
        <w:rPr/>
        <w:t>shown</w:t>
      </w:r>
      <w:r>
        <w:rPr>
          <w:spacing w:val="-15"/>
        </w:rPr>
        <w:t> </w:t>
      </w:r>
      <w:r>
        <w:rPr/>
        <w:t>on</w:t>
      </w:r>
      <w:r>
        <w:rPr>
          <w:spacing w:val="-15"/>
        </w:rPr>
        <w:t> </w:t>
      </w:r>
      <w:r>
        <w:rPr/>
        <w:t>charts</w:t>
      </w:r>
      <w:r>
        <w:rPr>
          <w:spacing w:val="-15"/>
        </w:rPr>
        <w:t> </w:t>
      </w:r>
      <w:r>
        <w:rPr/>
        <w:t>with</w:t>
      </w:r>
      <w:r>
        <w:rPr>
          <w:spacing w:val="-15"/>
        </w:rPr>
        <w:t> </w:t>
      </w:r>
      <w:r>
        <w:rPr/>
        <w:t>upwards</w:t>
      </w:r>
      <w:r>
        <w:rPr>
          <w:spacing w:val="-2"/>
        </w:rPr>
        <w:t> </w:t>
      </w:r>
      <w:r>
        <w:rPr>
          <w:w w:val="87"/>
          <w:position w:val="-1"/>
        </w:rPr>
        <w:drawing>
          <wp:inline distT="0" distB="0" distL="0" distR="0">
            <wp:extent cx="67983" cy="116645"/>
            <wp:effectExtent l="0" t="0" r="0" b="0"/>
            <wp:docPr id="65" name="image31.png" descr=""/>
            <wp:cNvGraphicFramePr>
              <a:graphicFrameLocks noChangeAspect="1"/>
            </wp:cNvGraphicFramePr>
            <a:graphic>
              <a:graphicData uri="http://schemas.openxmlformats.org/drawingml/2006/picture">
                <pic:pic>
                  <pic:nvPicPr>
                    <pic:cNvPr id="66" name="image31.png"/>
                    <pic:cNvPicPr/>
                  </pic:nvPicPr>
                  <pic:blipFill>
                    <a:blip r:embed="rId35" cstate="print"/>
                    <a:stretch>
                      <a:fillRect/>
                    </a:stretch>
                  </pic:blipFill>
                  <pic:spPr>
                    <a:xfrm>
                      <a:off x="0" y="0"/>
                      <a:ext cx="67983" cy="116645"/>
                    </a:xfrm>
                    <a:prstGeom prst="rect">
                      <a:avLst/>
                    </a:prstGeom>
                  </pic:spPr>
                </pic:pic>
              </a:graphicData>
            </a:graphic>
          </wp:inline>
        </w:drawing>
      </w:r>
      <w:r>
        <w:rPr>
          <w:w w:val="87"/>
          <w:position w:val="-1"/>
        </w:rPr>
      </w:r>
      <w:r>
        <w:rPr/>
        <w:t>)</w:t>
      </w:r>
      <w:r>
        <w:rPr>
          <w:spacing w:val="-12"/>
        </w:rPr>
        <w:t> </w:t>
      </w:r>
      <w:r>
        <w:rPr/>
        <w:t>and</w:t>
      </w:r>
      <w:r>
        <w:rPr>
          <w:spacing w:val="-12"/>
        </w:rPr>
        <w:t> </w:t>
      </w:r>
      <w:r>
        <w:rPr/>
        <w:t>downwards</w:t>
      </w:r>
      <w:r>
        <w:rPr>
          <w:spacing w:val="-2"/>
        </w:rPr>
        <w:t> </w:t>
      </w:r>
      <w:r>
        <w:rPr>
          <w:spacing w:val="-1"/>
          <w:w w:val="87"/>
          <w:position w:val="-4"/>
        </w:rPr>
        <w:drawing>
          <wp:inline distT="0" distB="0" distL="0" distR="0">
            <wp:extent cx="67983" cy="116630"/>
            <wp:effectExtent l="0" t="0" r="0" b="0"/>
            <wp:docPr id="67" name="image32.png" descr=""/>
            <wp:cNvGraphicFramePr>
              <a:graphicFrameLocks noChangeAspect="1"/>
            </wp:cNvGraphicFramePr>
            <a:graphic>
              <a:graphicData uri="http://schemas.openxmlformats.org/drawingml/2006/picture">
                <pic:pic>
                  <pic:nvPicPr>
                    <pic:cNvPr id="68" name="image32.png"/>
                    <pic:cNvPicPr/>
                  </pic:nvPicPr>
                  <pic:blipFill>
                    <a:blip r:embed="rId36" cstate="print"/>
                    <a:stretch>
                      <a:fillRect/>
                    </a:stretch>
                  </pic:blipFill>
                  <pic:spPr>
                    <a:xfrm>
                      <a:off x="0" y="0"/>
                      <a:ext cx="67983" cy="116630"/>
                    </a:xfrm>
                    <a:prstGeom prst="rect">
                      <a:avLst/>
                    </a:prstGeom>
                  </pic:spPr>
                </pic:pic>
              </a:graphicData>
            </a:graphic>
          </wp:inline>
        </w:drawing>
      </w:r>
      <w:r>
        <w:rPr>
          <w:spacing w:val="-1"/>
          <w:w w:val="87"/>
          <w:position w:val="-4"/>
        </w:rPr>
      </w:r>
      <w:r>
        <w:rPr/>
        <w:t>)</w:t>
      </w:r>
      <w:r>
        <w:rPr>
          <w:spacing w:val="-10"/>
        </w:rPr>
        <w:t> </w:t>
      </w:r>
      <w:r>
        <w:rPr/>
        <w:t>facing</w:t>
      </w:r>
      <w:r>
        <w:rPr>
          <w:spacing w:val="-10"/>
        </w:rPr>
        <w:t> </w:t>
      </w:r>
      <w:r>
        <w:rPr/>
        <w:t>arrows</w:t>
      </w:r>
      <w:r>
        <w:rPr>
          <w:spacing w:val="-10"/>
        </w:rPr>
        <w:t> </w:t>
      </w:r>
      <w:r>
        <w:rPr/>
        <w:t>alongside</w:t>
      </w:r>
      <w:r>
        <w:rPr>
          <w:spacing w:val="-10"/>
        </w:rPr>
        <w:t> </w:t>
      </w:r>
      <w:r>
        <w:rPr/>
        <w:t>figures. Arrows</w:t>
      </w:r>
      <w:r>
        <w:rPr>
          <w:spacing w:val="-4"/>
        </w:rPr>
        <w:t> </w:t>
      </w:r>
      <w:r>
        <w:rPr/>
        <w:t>illustrate</w:t>
      </w:r>
      <w:r>
        <w:rPr>
          <w:spacing w:val="-4"/>
        </w:rPr>
        <w:t> </w:t>
      </w:r>
      <w:r>
        <w:rPr/>
        <w:t>whether</w:t>
      </w:r>
      <w:r>
        <w:rPr>
          <w:spacing w:val="-4"/>
        </w:rPr>
        <w:t> </w:t>
      </w:r>
      <w:r>
        <w:rPr/>
        <w:t>a</w:t>
      </w:r>
      <w:r>
        <w:rPr>
          <w:spacing w:val="-4"/>
        </w:rPr>
        <w:t> </w:t>
      </w:r>
      <w:r>
        <w:rPr/>
        <w:t>figure</w:t>
      </w:r>
      <w:r>
        <w:rPr>
          <w:spacing w:val="-4"/>
        </w:rPr>
        <w:t> </w:t>
      </w:r>
      <w:r>
        <w:rPr/>
        <w:t>is</w:t>
      </w:r>
      <w:r>
        <w:rPr>
          <w:spacing w:val="-4"/>
        </w:rPr>
        <w:t> </w:t>
      </w:r>
      <w:r>
        <w:rPr/>
        <w:t>higher</w:t>
      </w:r>
      <w:r>
        <w:rPr>
          <w:spacing w:val="-4"/>
        </w:rPr>
        <w:t> </w:t>
      </w:r>
      <w:r>
        <w:rPr/>
        <w:t>or</w:t>
      </w:r>
      <w:r>
        <w:rPr>
          <w:spacing w:val="-4"/>
        </w:rPr>
        <w:t> </w:t>
      </w:r>
      <w:r>
        <w:rPr/>
        <w:t>lower</w:t>
      </w:r>
      <w:r>
        <w:rPr>
          <w:spacing w:val="-4"/>
        </w:rPr>
        <w:t> </w:t>
      </w:r>
      <w:r>
        <w:rPr/>
        <w:t>than</w:t>
      </w:r>
      <w:r>
        <w:rPr>
          <w:spacing w:val="-4"/>
        </w:rPr>
        <w:t> </w:t>
      </w:r>
      <w:r>
        <w:rPr/>
        <w:t>the</w:t>
      </w:r>
      <w:r>
        <w:rPr>
          <w:spacing w:val="-4"/>
        </w:rPr>
        <w:t> </w:t>
      </w:r>
      <w:r>
        <w:rPr/>
        <w:t>average.</w:t>
      </w:r>
    </w:p>
    <w:p>
      <w:pPr>
        <w:spacing w:after="0" w:line="283" w:lineRule="auto"/>
        <w:sectPr>
          <w:type w:val="continuous"/>
          <w:pgSz w:w="11910" w:h="16840"/>
          <w:pgMar w:top="1580" w:bottom="280" w:left="0" w:right="0"/>
        </w:sectPr>
      </w:pPr>
    </w:p>
    <w:p>
      <w:pPr>
        <w:pStyle w:val="BodyText"/>
        <w:spacing w:line="283" w:lineRule="auto" w:before="86"/>
        <w:ind w:left="1700" w:right="-2"/>
      </w:pPr>
      <w:r>
        <w:rPr/>
        <w:t>The conjoint analysis uncovered a slightly different and</w:t>
      </w:r>
      <w:r>
        <w:rPr>
          <w:spacing w:val="-8"/>
        </w:rPr>
        <w:t> </w:t>
      </w:r>
      <w:r>
        <w:rPr/>
        <w:t>unexpected</w:t>
      </w:r>
      <w:r>
        <w:rPr>
          <w:spacing w:val="-8"/>
        </w:rPr>
        <w:t> </w:t>
      </w:r>
      <w:r>
        <w:rPr/>
        <w:t>pattern</w:t>
      </w:r>
      <w:r>
        <w:rPr>
          <w:spacing w:val="-8"/>
        </w:rPr>
        <w:t> </w:t>
      </w:r>
      <w:r>
        <w:rPr/>
        <w:t>of</w:t>
      </w:r>
      <w:r>
        <w:rPr>
          <w:spacing w:val="-8"/>
        </w:rPr>
        <w:t> </w:t>
      </w:r>
      <w:r>
        <w:rPr/>
        <w:t>responses</w:t>
      </w:r>
      <w:r>
        <w:rPr>
          <w:spacing w:val="-8"/>
        </w:rPr>
        <w:t> </w:t>
      </w:r>
      <w:r>
        <w:rPr/>
        <w:t>relating</w:t>
      </w:r>
      <w:r>
        <w:rPr>
          <w:spacing w:val="-8"/>
        </w:rPr>
        <w:t> </w:t>
      </w:r>
      <w:r>
        <w:rPr/>
        <w:t>to</w:t>
      </w:r>
      <w:r>
        <w:rPr>
          <w:spacing w:val="-8"/>
        </w:rPr>
        <w:t> </w:t>
      </w:r>
      <w:r>
        <w:rPr/>
        <w:t>self- perception</w:t>
      </w:r>
      <w:r>
        <w:rPr>
          <w:spacing w:val="-10"/>
        </w:rPr>
        <w:t> </w:t>
      </w:r>
      <w:r>
        <w:rPr/>
        <w:t>of</w:t>
      </w:r>
      <w:r>
        <w:rPr>
          <w:spacing w:val="-10"/>
        </w:rPr>
        <w:t> </w:t>
      </w:r>
      <w:r>
        <w:rPr/>
        <w:t>home</w:t>
      </w:r>
      <w:r>
        <w:rPr>
          <w:spacing w:val="-10"/>
        </w:rPr>
        <w:t> </w:t>
      </w:r>
      <w:r>
        <w:rPr/>
        <w:t>maintenance/DIY</w:t>
      </w:r>
      <w:r>
        <w:rPr>
          <w:spacing w:val="-10"/>
        </w:rPr>
        <w:t> </w:t>
      </w:r>
      <w:r>
        <w:rPr/>
        <w:t>skills.</w:t>
      </w:r>
      <w:r>
        <w:rPr>
          <w:spacing w:val="-10"/>
        </w:rPr>
        <w:t> </w:t>
      </w:r>
      <w:r>
        <w:rPr/>
        <w:t>The</w:t>
      </w:r>
      <w:r>
        <w:rPr>
          <w:spacing w:val="-10"/>
        </w:rPr>
        <w:t> </w:t>
      </w:r>
      <w:r>
        <w:rPr/>
        <w:t>main trend is of increasing confidence in one’s DIY skills, leading to a higher likelihood to remove asbestos (whether via a contractor or not). However, this pattern</w:t>
      </w:r>
      <w:r>
        <w:rPr>
          <w:spacing w:val="-11"/>
        </w:rPr>
        <w:t> </w:t>
      </w:r>
      <w:r>
        <w:rPr/>
        <w:t>only</w:t>
      </w:r>
      <w:r>
        <w:rPr>
          <w:spacing w:val="-11"/>
        </w:rPr>
        <w:t> </w:t>
      </w:r>
      <w:r>
        <w:rPr/>
        <w:t>holds</w:t>
      </w:r>
      <w:r>
        <w:rPr>
          <w:spacing w:val="-11"/>
        </w:rPr>
        <w:t> </w:t>
      </w:r>
      <w:r>
        <w:rPr/>
        <w:t>true</w:t>
      </w:r>
      <w:r>
        <w:rPr>
          <w:spacing w:val="-11"/>
        </w:rPr>
        <w:t> </w:t>
      </w:r>
      <w:r>
        <w:rPr/>
        <w:t>for</w:t>
      </w:r>
      <w:r>
        <w:rPr>
          <w:spacing w:val="-11"/>
        </w:rPr>
        <w:t> </w:t>
      </w:r>
      <w:r>
        <w:rPr/>
        <w:t>those</w:t>
      </w:r>
      <w:r>
        <w:rPr>
          <w:spacing w:val="-11"/>
        </w:rPr>
        <w:t> </w:t>
      </w:r>
      <w:r>
        <w:rPr/>
        <w:t>rating</w:t>
      </w:r>
      <w:r>
        <w:rPr>
          <w:spacing w:val="-11"/>
        </w:rPr>
        <w:t> </w:t>
      </w:r>
      <w:r>
        <w:rPr/>
        <w:t>their</w:t>
      </w:r>
      <w:r>
        <w:rPr>
          <w:spacing w:val="-11"/>
        </w:rPr>
        <w:t> </w:t>
      </w:r>
      <w:r>
        <w:rPr/>
        <w:t>DIY</w:t>
      </w:r>
      <w:r>
        <w:rPr>
          <w:spacing w:val="-11"/>
        </w:rPr>
        <w:t> </w:t>
      </w:r>
      <w:r>
        <w:rPr/>
        <w:t>skills from</w:t>
      </w:r>
      <w:r>
        <w:rPr>
          <w:spacing w:val="-6"/>
        </w:rPr>
        <w:t> </w:t>
      </w:r>
      <w:r>
        <w:rPr>
          <w:i/>
        </w:rPr>
        <w:t>very</w:t>
      </w:r>
      <w:r>
        <w:rPr>
          <w:i/>
          <w:spacing w:val="-13"/>
        </w:rPr>
        <w:t> </w:t>
      </w:r>
      <w:r>
        <w:rPr>
          <w:i/>
        </w:rPr>
        <w:t>poor</w:t>
      </w:r>
      <w:r>
        <w:rPr>
          <w:i/>
          <w:spacing w:val="-6"/>
        </w:rPr>
        <w:t> </w:t>
      </w:r>
      <w:r>
        <w:rPr/>
        <w:t>through</w:t>
      </w:r>
      <w:r>
        <w:rPr>
          <w:spacing w:val="-6"/>
        </w:rPr>
        <w:t> </w:t>
      </w:r>
      <w:r>
        <w:rPr/>
        <w:t>to</w:t>
      </w:r>
      <w:r>
        <w:rPr>
          <w:spacing w:val="-6"/>
        </w:rPr>
        <w:t> </w:t>
      </w:r>
      <w:r>
        <w:rPr>
          <w:i/>
        </w:rPr>
        <w:t>somewhat</w:t>
      </w:r>
      <w:r>
        <w:rPr>
          <w:i/>
          <w:spacing w:val="-13"/>
        </w:rPr>
        <w:t> </w:t>
      </w:r>
      <w:r>
        <w:rPr>
          <w:i/>
        </w:rPr>
        <w:t>good</w:t>
      </w:r>
      <w:r>
        <w:rPr/>
        <w:t>.</w:t>
      </w:r>
    </w:p>
    <w:p>
      <w:pPr>
        <w:pStyle w:val="BodyText"/>
        <w:spacing w:line="283" w:lineRule="auto" w:before="136"/>
        <w:ind w:left="1700" w:right="81"/>
        <w:rPr>
          <w:i/>
        </w:rPr>
      </w:pPr>
      <w:r>
        <w:rPr/>
        <w:t>Those</w:t>
      </w:r>
      <w:r>
        <w:rPr>
          <w:spacing w:val="-14"/>
        </w:rPr>
        <w:t> </w:t>
      </w:r>
      <w:r>
        <w:rPr/>
        <w:t>who</w:t>
      </w:r>
      <w:r>
        <w:rPr>
          <w:spacing w:val="-14"/>
        </w:rPr>
        <w:t> </w:t>
      </w:r>
      <w:r>
        <w:rPr/>
        <w:t>rate</w:t>
      </w:r>
      <w:r>
        <w:rPr>
          <w:spacing w:val="-14"/>
        </w:rPr>
        <w:t> </w:t>
      </w:r>
      <w:r>
        <w:rPr/>
        <w:t>their</w:t>
      </w:r>
      <w:r>
        <w:rPr>
          <w:spacing w:val="-14"/>
        </w:rPr>
        <w:t> </w:t>
      </w:r>
      <w:r>
        <w:rPr/>
        <w:t>DIY</w:t>
      </w:r>
      <w:r>
        <w:rPr>
          <w:spacing w:val="-14"/>
        </w:rPr>
        <w:t> </w:t>
      </w:r>
      <w:r>
        <w:rPr/>
        <w:t>skills</w:t>
      </w:r>
      <w:r>
        <w:rPr>
          <w:spacing w:val="-14"/>
        </w:rPr>
        <w:t> </w:t>
      </w:r>
      <w:r>
        <w:rPr/>
        <w:t>as</w:t>
      </w:r>
      <w:r>
        <w:rPr>
          <w:spacing w:val="-14"/>
        </w:rPr>
        <w:t> </w:t>
      </w:r>
      <w:r>
        <w:rPr>
          <w:i/>
        </w:rPr>
        <w:t>very</w:t>
      </w:r>
      <w:r>
        <w:rPr>
          <w:i/>
          <w:spacing w:val="-19"/>
        </w:rPr>
        <w:t> </w:t>
      </w:r>
      <w:r>
        <w:rPr>
          <w:i/>
        </w:rPr>
        <w:t>good</w:t>
      </w:r>
      <w:r>
        <w:rPr>
          <w:i/>
          <w:spacing w:val="-14"/>
        </w:rPr>
        <w:t> </w:t>
      </w:r>
      <w:r>
        <w:rPr/>
        <w:t>are</w:t>
      </w:r>
      <w:r>
        <w:rPr>
          <w:spacing w:val="-14"/>
        </w:rPr>
        <w:t> </w:t>
      </w:r>
      <w:r>
        <w:rPr/>
        <w:t>less likely than others to intend to remove asbestos immediately. While it is tempting to hypothesise that</w:t>
      </w:r>
      <w:r>
        <w:rPr>
          <w:spacing w:val="-9"/>
        </w:rPr>
        <w:t> </w:t>
      </w:r>
      <w:r>
        <w:rPr/>
        <w:t>those</w:t>
      </w:r>
      <w:r>
        <w:rPr>
          <w:spacing w:val="-9"/>
        </w:rPr>
        <w:t> </w:t>
      </w:r>
      <w:r>
        <w:rPr/>
        <w:t>who</w:t>
      </w:r>
      <w:r>
        <w:rPr>
          <w:spacing w:val="-9"/>
        </w:rPr>
        <w:t> </w:t>
      </w:r>
      <w:r>
        <w:rPr/>
        <w:t>rate</w:t>
      </w:r>
      <w:r>
        <w:rPr>
          <w:spacing w:val="-9"/>
        </w:rPr>
        <w:t> </w:t>
      </w:r>
      <w:r>
        <w:rPr/>
        <w:t>their</w:t>
      </w:r>
      <w:r>
        <w:rPr>
          <w:spacing w:val="-9"/>
        </w:rPr>
        <w:t> </w:t>
      </w:r>
      <w:r>
        <w:rPr/>
        <w:t>DIY</w:t>
      </w:r>
      <w:r>
        <w:rPr>
          <w:spacing w:val="-9"/>
        </w:rPr>
        <w:t> </w:t>
      </w:r>
      <w:r>
        <w:rPr/>
        <w:t>skills</w:t>
      </w:r>
      <w:r>
        <w:rPr>
          <w:spacing w:val="-9"/>
        </w:rPr>
        <w:t> </w:t>
      </w:r>
      <w:r>
        <w:rPr/>
        <w:t>as</w:t>
      </w:r>
      <w:r>
        <w:rPr>
          <w:spacing w:val="-9"/>
        </w:rPr>
        <w:t> </w:t>
      </w:r>
      <w:r>
        <w:rPr>
          <w:i/>
        </w:rPr>
        <w:t>very</w:t>
      </w:r>
      <w:r>
        <w:rPr>
          <w:i/>
          <w:spacing w:val="-15"/>
        </w:rPr>
        <w:t> </w:t>
      </w:r>
      <w:r>
        <w:rPr>
          <w:i/>
        </w:rPr>
        <w:t>good</w:t>
      </w:r>
    </w:p>
    <w:p>
      <w:pPr>
        <w:pStyle w:val="BodyText"/>
        <w:spacing w:line="283" w:lineRule="auto" w:before="2"/>
        <w:ind w:left="1700" w:right="81"/>
      </w:pPr>
      <w:r>
        <w:rPr/>
        <w:t>are more circumspect than others due to a better understanding of the risks of asbestos, this is not borne out by the numbers. Those with </w:t>
      </w:r>
      <w:r>
        <w:rPr>
          <w:i/>
        </w:rPr>
        <w:t>very good </w:t>
      </w:r>
      <w:r>
        <w:rPr/>
        <w:t>DIY</w:t>
      </w:r>
      <w:r>
        <w:rPr>
          <w:spacing w:val="-13"/>
        </w:rPr>
        <w:t> </w:t>
      </w:r>
      <w:r>
        <w:rPr/>
        <w:t>skills</w:t>
      </w:r>
      <w:r>
        <w:rPr>
          <w:spacing w:val="-13"/>
        </w:rPr>
        <w:t> </w:t>
      </w:r>
      <w:r>
        <w:rPr/>
        <w:t>are</w:t>
      </w:r>
      <w:r>
        <w:rPr>
          <w:spacing w:val="-13"/>
        </w:rPr>
        <w:t> </w:t>
      </w:r>
      <w:r>
        <w:rPr>
          <w:u w:val="single"/>
        </w:rPr>
        <w:t>not</w:t>
      </w:r>
      <w:r>
        <w:rPr>
          <w:spacing w:val="-13"/>
        </w:rPr>
        <w:t> </w:t>
      </w:r>
      <w:r>
        <w:rPr/>
        <w:t>significantly</w:t>
      </w:r>
      <w:r>
        <w:rPr>
          <w:spacing w:val="-13"/>
        </w:rPr>
        <w:t> </w:t>
      </w:r>
      <w:r>
        <w:rPr/>
        <w:t>more</w:t>
      </w:r>
      <w:r>
        <w:rPr>
          <w:spacing w:val="-13"/>
        </w:rPr>
        <w:t> </w:t>
      </w:r>
      <w:r>
        <w:rPr/>
        <w:t>likely</w:t>
      </w:r>
      <w:r>
        <w:rPr>
          <w:spacing w:val="-13"/>
        </w:rPr>
        <w:t> </w:t>
      </w:r>
      <w:r>
        <w:rPr/>
        <w:t>than</w:t>
      </w:r>
      <w:r>
        <w:rPr>
          <w:spacing w:val="-13"/>
        </w:rPr>
        <w:t> </w:t>
      </w:r>
      <w:r>
        <w:rPr/>
        <w:t>others to</w:t>
      </w:r>
      <w:r>
        <w:rPr>
          <w:spacing w:val="-9"/>
        </w:rPr>
        <w:t> </w:t>
      </w:r>
      <w:r>
        <w:rPr/>
        <w:t>indicate</w:t>
      </w:r>
      <w:r>
        <w:rPr>
          <w:spacing w:val="-9"/>
        </w:rPr>
        <w:t> </w:t>
      </w:r>
      <w:r>
        <w:rPr/>
        <w:t>that</w:t>
      </w:r>
      <w:r>
        <w:rPr>
          <w:spacing w:val="-9"/>
        </w:rPr>
        <w:t> </w:t>
      </w:r>
      <w:r>
        <w:rPr/>
        <w:t>they</w:t>
      </w:r>
      <w:r>
        <w:rPr>
          <w:spacing w:val="-9"/>
        </w:rPr>
        <w:t> </w:t>
      </w:r>
      <w:r>
        <w:rPr/>
        <w:t>think</w:t>
      </w:r>
      <w:r>
        <w:rPr>
          <w:spacing w:val="-9"/>
        </w:rPr>
        <w:t> </w:t>
      </w:r>
      <w:r>
        <w:rPr/>
        <w:t>it</w:t>
      </w:r>
      <w:r>
        <w:rPr>
          <w:spacing w:val="-9"/>
        </w:rPr>
        <w:t> </w:t>
      </w:r>
      <w:r>
        <w:rPr/>
        <w:t>is</w:t>
      </w:r>
      <w:r>
        <w:rPr>
          <w:spacing w:val="-9"/>
        </w:rPr>
        <w:t> </w:t>
      </w:r>
      <w:r>
        <w:rPr/>
        <w:t>probable</w:t>
      </w:r>
      <w:r>
        <w:rPr>
          <w:spacing w:val="-9"/>
        </w:rPr>
        <w:t> </w:t>
      </w:r>
      <w:r>
        <w:rPr/>
        <w:t>that</w:t>
      </w:r>
      <w:r>
        <w:rPr>
          <w:spacing w:val="-9"/>
        </w:rPr>
        <w:t> </w:t>
      </w:r>
      <w:r>
        <w:rPr/>
        <w:t>they</w:t>
      </w:r>
      <w:r>
        <w:rPr>
          <w:spacing w:val="-9"/>
        </w:rPr>
        <w:t> </w:t>
      </w:r>
      <w:r>
        <w:rPr/>
        <w:t>or members of their household could develop</w:t>
      </w:r>
      <w:r>
        <w:rPr>
          <w:spacing w:val="-27"/>
        </w:rPr>
        <w:t> </w:t>
      </w:r>
      <w:r>
        <w:rPr/>
        <w:t>serious</w:t>
      </w:r>
    </w:p>
    <w:p>
      <w:pPr>
        <w:pStyle w:val="BodyText"/>
        <w:spacing w:line="283" w:lineRule="auto" w:before="4"/>
        <w:ind w:left="1700" w:right="-8"/>
      </w:pPr>
      <w:r>
        <w:rPr/>
        <w:t>or</w:t>
      </w:r>
      <w:r>
        <w:rPr>
          <w:spacing w:val="-11"/>
        </w:rPr>
        <w:t> </w:t>
      </w:r>
      <w:r>
        <w:rPr/>
        <w:t>chronic</w:t>
      </w:r>
      <w:r>
        <w:rPr>
          <w:spacing w:val="-11"/>
        </w:rPr>
        <w:t> </w:t>
      </w:r>
      <w:r>
        <w:rPr/>
        <w:t>health</w:t>
      </w:r>
      <w:r>
        <w:rPr>
          <w:spacing w:val="-11"/>
        </w:rPr>
        <w:t> </w:t>
      </w:r>
      <w:r>
        <w:rPr/>
        <w:t>problems</w:t>
      </w:r>
      <w:r>
        <w:rPr>
          <w:spacing w:val="-11"/>
        </w:rPr>
        <w:t> </w:t>
      </w:r>
      <w:r>
        <w:rPr/>
        <w:t>if</w:t>
      </w:r>
      <w:r>
        <w:rPr>
          <w:spacing w:val="-11"/>
        </w:rPr>
        <w:t> </w:t>
      </w:r>
      <w:r>
        <w:rPr/>
        <w:t>there</w:t>
      </w:r>
      <w:r>
        <w:rPr>
          <w:spacing w:val="-11"/>
        </w:rPr>
        <w:t> </w:t>
      </w:r>
      <w:r>
        <w:rPr/>
        <w:t>is</w:t>
      </w:r>
      <w:r>
        <w:rPr>
          <w:spacing w:val="-11"/>
        </w:rPr>
        <w:t> </w:t>
      </w:r>
      <w:r>
        <w:rPr/>
        <w:t>asbestos</w:t>
      </w:r>
      <w:r>
        <w:rPr>
          <w:spacing w:val="-11"/>
        </w:rPr>
        <w:t> </w:t>
      </w:r>
      <w:r>
        <w:rPr/>
        <w:t>in</w:t>
      </w:r>
      <w:r>
        <w:rPr>
          <w:spacing w:val="-11"/>
        </w:rPr>
        <w:t> </w:t>
      </w:r>
      <w:r>
        <w:rPr/>
        <w:t>their home. We speculate that the reason for the pattern, therefore,</w:t>
      </w:r>
      <w:r>
        <w:rPr>
          <w:spacing w:val="-12"/>
        </w:rPr>
        <w:t> </w:t>
      </w:r>
      <w:r>
        <w:rPr/>
        <w:t>may</w:t>
      </w:r>
      <w:r>
        <w:rPr>
          <w:spacing w:val="-12"/>
        </w:rPr>
        <w:t> </w:t>
      </w:r>
      <w:r>
        <w:rPr/>
        <w:t>be</w:t>
      </w:r>
      <w:r>
        <w:rPr>
          <w:spacing w:val="-12"/>
        </w:rPr>
        <w:t> </w:t>
      </w:r>
      <w:r>
        <w:rPr/>
        <w:t>because</w:t>
      </w:r>
      <w:r>
        <w:rPr>
          <w:spacing w:val="-12"/>
        </w:rPr>
        <w:t> </w:t>
      </w:r>
      <w:r>
        <w:rPr/>
        <w:t>those</w:t>
      </w:r>
      <w:r>
        <w:rPr>
          <w:spacing w:val="-12"/>
        </w:rPr>
        <w:t> </w:t>
      </w:r>
      <w:r>
        <w:rPr/>
        <w:t>who</w:t>
      </w:r>
      <w:r>
        <w:rPr>
          <w:spacing w:val="-12"/>
        </w:rPr>
        <w:t> </w:t>
      </w:r>
      <w:r>
        <w:rPr/>
        <w:t>rate</w:t>
      </w:r>
      <w:r>
        <w:rPr>
          <w:spacing w:val="-12"/>
        </w:rPr>
        <w:t> </w:t>
      </w:r>
      <w:r>
        <w:rPr/>
        <w:t>their</w:t>
      </w:r>
      <w:r>
        <w:rPr>
          <w:spacing w:val="-12"/>
        </w:rPr>
        <w:t> </w:t>
      </w:r>
      <w:r>
        <w:rPr/>
        <w:t>skills as </w:t>
      </w:r>
      <w:r>
        <w:rPr>
          <w:i/>
        </w:rPr>
        <w:t>very good </w:t>
      </w:r>
      <w:r>
        <w:rPr/>
        <w:t>perceive there to be less risk associated with the presence of asbestos in their home, but do see</w:t>
      </w:r>
      <w:r>
        <w:rPr>
          <w:spacing w:val="-9"/>
        </w:rPr>
        <w:t> </w:t>
      </w:r>
      <w:r>
        <w:rPr/>
        <w:t>a</w:t>
      </w:r>
      <w:r>
        <w:rPr>
          <w:spacing w:val="-9"/>
        </w:rPr>
        <w:t> </w:t>
      </w:r>
      <w:r>
        <w:rPr/>
        <w:t>risk</w:t>
      </w:r>
      <w:r>
        <w:rPr>
          <w:spacing w:val="-9"/>
        </w:rPr>
        <w:t> </w:t>
      </w:r>
      <w:r>
        <w:rPr/>
        <w:t>to</w:t>
      </w:r>
      <w:r>
        <w:rPr>
          <w:spacing w:val="-9"/>
        </w:rPr>
        <w:t> </w:t>
      </w:r>
      <w:r>
        <w:rPr/>
        <w:t>disturbing</w:t>
      </w:r>
      <w:r>
        <w:rPr>
          <w:spacing w:val="-9"/>
        </w:rPr>
        <w:t> </w:t>
      </w:r>
      <w:r>
        <w:rPr/>
        <w:t>it.</w:t>
      </w:r>
      <w:r>
        <w:rPr>
          <w:spacing w:val="-9"/>
        </w:rPr>
        <w:t> </w:t>
      </w:r>
      <w:r>
        <w:rPr/>
        <w:t>This</w:t>
      </w:r>
      <w:r>
        <w:rPr>
          <w:spacing w:val="-9"/>
        </w:rPr>
        <w:t> </w:t>
      </w:r>
      <w:r>
        <w:rPr/>
        <w:t>indicates</w:t>
      </w:r>
      <w:r>
        <w:rPr>
          <w:spacing w:val="-9"/>
        </w:rPr>
        <w:t> </w:t>
      </w:r>
      <w:r>
        <w:rPr/>
        <w:t>a</w:t>
      </w:r>
      <w:r>
        <w:rPr>
          <w:spacing w:val="-9"/>
        </w:rPr>
        <w:t> </w:t>
      </w:r>
      <w:r>
        <w:rPr/>
        <w:t>higher</w:t>
      </w:r>
      <w:r>
        <w:rPr>
          <w:spacing w:val="-9"/>
        </w:rPr>
        <w:t> </w:t>
      </w:r>
      <w:r>
        <w:rPr/>
        <w:t>level of literacy than among those who rate their DIY skills as </w:t>
      </w:r>
      <w:r>
        <w:rPr>
          <w:i/>
        </w:rPr>
        <w:t>very</w:t>
      </w:r>
      <w:r>
        <w:rPr>
          <w:i/>
          <w:spacing w:val="-12"/>
        </w:rPr>
        <w:t> </w:t>
      </w:r>
      <w:r>
        <w:rPr>
          <w:i/>
        </w:rPr>
        <w:t>good</w:t>
      </w:r>
      <w:r>
        <w:rPr/>
        <w:t>.</w:t>
      </w:r>
    </w:p>
    <w:p>
      <w:pPr>
        <w:pStyle w:val="Heading2"/>
        <w:spacing w:before="83"/>
        <w:ind w:left="567" w:right="2391"/>
      </w:pPr>
      <w:r>
        <w:rPr/>
        <w:br w:type="column"/>
      </w:r>
      <w:r>
        <w:rPr>
          <w:w w:val="80"/>
        </w:rPr>
        <w:t>Perceptions of health impacts </w:t>
      </w:r>
      <w:r>
        <w:rPr>
          <w:w w:val="90"/>
        </w:rPr>
        <w:t>and self-removal</w:t>
      </w:r>
    </w:p>
    <w:p>
      <w:pPr>
        <w:pStyle w:val="BodyText"/>
        <w:spacing w:line="283" w:lineRule="auto" w:before="157"/>
        <w:ind w:left="567" w:right="1918"/>
      </w:pPr>
      <w:r>
        <w:rPr/>
        <w:t>The survey also found associations between perceptions of asbestos-related health risks and the likelihood of self-removal.</w:t>
      </w:r>
    </w:p>
    <w:p>
      <w:pPr>
        <w:pStyle w:val="BodyText"/>
        <w:spacing w:line="283" w:lineRule="auto" w:before="132"/>
        <w:ind w:left="567" w:right="2152"/>
      </w:pPr>
      <w:r>
        <w:rPr/>
        <w:t>A significant proportion of homeowners willing to conduct self-removal of asbestos perceive the</w:t>
      </w:r>
    </w:p>
    <w:p>
      <w:pPr>
        <w:spacing w:line="283" w:lineRule="auto" w:before="2"/>
        <w:ind w:left="567" w:right="1545" w:firstLine="0"/>
        <w:jc w:val="left"/>
        <w:rPr>
          <w:sz w:val="18"/>
        </w:rPr>
      </w:pPr>
      <w:r>
        <w:rPr/>
        <w:pict>
          <v:group style="position:absolute;margin-left:308.976013pt;margin-top:64.396637pt;width:286.3pt;height:136.1pt;mso-position-horizontal-relative:page;mso-position-vertical-relative:paragraph;z-index:2056" coordorigin="6180,1288" coordsize="5726,2722">
            <v:rect style="position:absolute;left:6179;top:1287;width:5726;height:2722" filled="true" fillcolor="#1c75bc" stroked="false">
              <v:fill opacity="9830f" type="solid"/>
            </v:rect>
            <v:shape style="position:absolute;left:6406;top:2398;width:114;height:176" type="#_x0000_t75" stroked="false">
              <v:imagedata r:id="rId14" o:title=""/>
            </v:shape>
            <v:shape style="position:absolute;left:6406;top:3308;width:114;height:176" type="#_x0000_t75" stroked="false">
              <v:imagedata r:id="rId13" o:title=""/>
            </v:shape>
            <v:shape style="position:absolute;left:6179;top:1287;width:5726;height:2722" type="#_x0000_t202" filled="false" stroked="false">
              <v:textbox inset="0,0,0,0">
                <w:txbxContent>
                  <w:p>
                    <w:pPr>
                      <w:spacing w:before="201"/>
                      <w:ind w:left="226" w:right="0" w:firstLine="0"/>
                      <w:jc w:val="left"/>
                      <w:rPr>
                        <w:rFonts w:ascii="Arial"/>
                        <w:sz w:val="28"/>
                      </w:rPr>
                    </w:pPr>
                    <w:r>
                      <w:rPr>
                        <w:rFonts w:ascii="Arial"/>
                        <w:w w:val="90"/>
                        <w:sz w:val="28"/>
                      </w:rPr>
                      <w:t>Conclusions</w:t>
                    </w:r>
                  </w:p>
                  <w:p>
                    <w:pPr>
                      <w:spacing w:before="159"/>
                      <w:ind w:left="510" w:right="0" w:hanging="284"/>
                      <w:jc w:val="left"/>
                      <w:rPr>
                        <w:sz w:val="18"/>
                      </w:rPr>
                    </w:pPr>
                    <w:r>
                      <w:rPr>
                        <w:sz w:val="18"/>
                      </w:rPr>
                      <w:t>The findings above support the conclusions that:</w:t>
                    </w:r>
                  </w:p>
                  <w:p>
                    <w:pPr>
                      <w:spacing w:line="283" w:lineRule="auto" w:before="170"/>
                      <w:ind w:left="510" w:right="1993" w:firstLine="0"/>
                      <w:jc w:val="left"/>
                      <w:rPr>
                        <w:sz w:val="18"/>
                      </w:rPr>
                    </w:pPr>
                    <w:r>
                      <w:rPr>
                        <w:sz w:val="18"/>
                      </w:rPr>
                      <w:t>Low</w:t>
                    </w:r>
                    <w:r>
                      <w:rPr>
                        <w:spacing w:val="-15"/>
                        <w:sz w:val="18"/>
                      </w:rPr>
                      <w:t> </w:t>
                    </w:r>
                    <w:r>
                      <w:rPr>
                        <w:sz w:val="18"/>
                      </w:rPr>
                      <w:t>levels</w:t>
                    </w:r>
                    <w:r>
                      <w:rPr>
                        <w:spacing w:val="-15"/>
                        <w:sz w:val="18"/>
                      </w:rPr>
                      <w:t> </w:t>
                    </w:r>
                    <w:r>
                      <w:rPr>
                        <w:sz w:val="18"/>
                      </w:rPr>
                      <w:t>of</w:t>
                    </w:r>
                    <w:r>
                      <w:rPr>
                        <w:spacing w:val="-15"/>
                        <w:sz w:val="18"/>
                      </w:rPr>
                      <w:t> </w:t>
                    </w:r>
                    <w:r>
                      <w:rPr>
                        <w:sz w:val="18"/>
                      </w:rPr>
                      <w:t>risk</w:t>
                    </w:r>
                    <w:r>
                      <w:rPr>
                        <w:spacing w:val="-15"/>
                        <w:sz w:val="18"/>
                      </w:rPr>
                      <w:t> </w:t>
                    </w:r>
                    <w:r>
                      <w:rPr>
                        <w:sz w:val="18"/>
                      </w:rPr>
                      <w:t>literacy</w:t>
                    </w:r>
                    <w:r>
                      <w:rPr>
                        <w:spacing w:val="-15"/>
                        <w:sz w:val="18"/>
                      </w:rPr>
                      <w:t> </w:t>
                    </w:r>
                    <w:r>
                      <w:rPr>
                        <w:sz w:val="18"/>
                      </w:rPr>
                      <w:t>relating</w:t>
                    </w:r>
                    <w:r>
                      <w:rPr>
                        <w:spacing w:val="-15"/>
                        <w:sz w:val="18"/>
                      </w:rPr>
                      <w:t> </w:t>
                    </w:r>
                    <w:r>
                      <w:rPr>
                        <w:sz w:val="18"/>
                      </w:rPr>
                      <w:t>to</w:t>
                    </w:r>
                    <w:r>
                      <w:rPr>
                        <w:spacing w:val="-15"/>
                        <w:sz w:val="18"/>
                      </w:rPr>
                      <w:t> </w:t>
                    </w:r>
                    <w:r>
                      <w:rPr>
                        <w:sz w:val="18"/>
                      </w:rPr>
                      <w:t>products containing asbestos is a barrier to informed decision-making</w:t>
                    </w:r>
                  </w:p>
                  <w:p>
                    <w:pPr>
                      <w:spacing w:line="283" w:lineRule="auto" w:before="133"/>
                      <w:ind w:left="510" w:right="1828" w:firstLine="0"/>
                      <w:jc w:val="left"/>
                      <w:rPr>
                        <w:sz w:val="18"/>
                      </w:rPr>
                    </w:pPr>
                    <w:r>
                      <w:rPr>
                        <w:sz w:val="18"/>
                      </w:rPr>
                      <w:t>Perceived likelihood of health impacts is associated with likelihood to remove asbestos</w:t>
                    </w:r>
                  </w:p>
                </w:txbxContent>
              </v:textbox>
              <w10:wrap type="none"/>
            </v:shape>
            <w10:wrap type="none"/>
          </v:group>
        </w:pict>
      </w:r>
      <w:r>
        <w:rPr>
          <w:sz w:val="18"/>
        </w:rPr>
        <w:t>associated health threat as being low </w:t>
      </w:r>
      <w:r>
        <w:rPr>
          <w:spacing w:val="-3"/>
          <w:sz w:val="18"/>
        </w:rPr>
        <w:t>(65% </w:t>
      </w:r>
      <w:r>
        <w:rPr>
          <w:sz w:val="18"/>
        </w:rPr>
        <w:t>of those </w:t>
      </w:r>
      <w:r>
        <w:rPr>
          <w:i/>
          <w:sz w:val="18"/>
        </w:rPr>
        <w:t>virtually</w:t>
      </w:r>
      <w:r>
        <w:rPr>
          <w:i/>
          <w:spacing w:val="-25"/>
          <w:sz w:val="18"/>
        </w:rPr>
        <w:t> </w:t>
      </w:r>
      <w:r>
        <w:rPr>
          <w:i/>
          <w:sz w:val="18"/>
        </w:rPr>
        <w:t>certain</w:t>
      </w:r>
      <w:r>
        <w:rPr>
          <w:i/>
          <w:spacing w:val="-21"/>
          <w:sz w:val="18"/>
        </w:rPr>
        <w:t> </w:t>
      </w:r>
      <w:r>
        <w:rPr>
          <w:sz w:val="18"/>
        </w:rPr>
        <w:t>to</w:t>
      </w:r>
      <w:r>
        <w:rPr>
          <w:spacing w:val="-21"/>
          <w:sz w:val="18"/>
        </w:rPr>
        <w:t> </w:t>
      </w:r>
      <w:r>
        <w:rPr>
          <w:sz w:val="18"/>
        </w:rPr>
        <w:t>self-remove</w:t>
      </w:r>
      <w:r>
        <w:rPr>
          <w:spacing w:val="-21"/>
          <w:sz w:val="18"/>
        </w:rPr>
        <w:t> </w:t>
      </w:r>
      <w:r>
        <w:rPr>
          <w:sz w:val="18"/>
        </w:rPr>
        <w:t>asbestos</w:t>
      </w:r>
      <w:r>
        <w:rPr>
          <w:spacing w:val="-21"/>
          <w:sz w:val="18"/>
        </w:rPr>
        <w:t> </w:t>
      </w:r>
      <w:r>
        <w:rPr>
          <w:sz w:val="18"/>
        </w:rPr>
        <w:t>believe</w:t>
      </w:r>
      <w:r>
        <w:rPr>
          <w:spacing w:val="-21"/>
          <w:sz w:val="18"/>
        </w:rPr>
        <w:t> </w:t>
      </w:r>
      <w:r>
        <w:rPr>
          <w:sz w:val="18"/>
        </w:rPr>
        <w:t>there</w:t>
      </w:r>
      <w:r>
        <w:rPr>
          <w:spacing w:val="-21"/>
          <w:sz w:val="18"/>
        </w:rPr>
        <w:t> </w:t>
      </w:r>
      <w:r>
        <w:rPr>
          <w:sz w:val="18"/>
        </w:rPr>
        <w:t>is just</w:t>
      </w:r>
      <w:r>
        <w:rPr>
          <w:spacing w:val="-14"/>
          <w:sz w:val="18"/>
        </w:rPr>
        <w:t> </w:t>
      </w:r>
      <w:r>
        <w:rPr>
          <w:sz w:val="18"/>
        </w:rPr>
        <w:t>a</w:t>
      </w:r>
      <w:r>
        <w:rPr>
          <w:spacing w:val="-14"/>
          <w:sz w:val="18"/>
        </w:rPr>
        <w:t> </w:t>
      </w:r>
      <w:r>
        <w:rPr>
          <w:sz w:val="18"/>
        </w:rPr>
        <w:t>v</w:t>
      </w:r>
      <w:r>
        <w:rPr>
          <w:i/>
          <w:sz w:val="18"/>
        </w:rPr>
        <w:t>ery</w:t>
      </w:r>
      <w:r>
        <w:rPr>
          <w:i/>
          <w:spacing w:val="-19"/>
          <w:sz w:val="18"/>
        </w:rPr>
        <w:t> </w:t>
      </w:r>
      <w:r>
        <w:rPr>
          <w:i/>
          <w:sz w:val="18"/>
        </w:rPr>
        <w:t>slight</w:t>
      </w:r>
      <w:r>
        <w:rPr>
          <w:i/>
          <w:spacing w:val="-19"/>
          <w:sz w:val="18"/>
        </w:rPr>
        <w:t> </w:t>
      </w:r>
      <w:r>
        <w:rPr>
          <w:i/>
          <w:sz w:val="18"/>
        </w:rPr>
        <w:t>possibility</w:t>
      </w:r>
      <w:r>
        <w:rPr>
          <w:i/>
          <w:spacing w:val="-14"/>
          <w:sz w:val="18"/>
        </w:rPr>
        <w:t> </w:t>
      </w:r>
      <w:r>
        <w:rPr>
          <w:sz w:val="18"/>
        </w:rPr>
        <w:t>or</w:t>
      </w:r>
      <w:r>
        <w:rPr>
          <w:spacing w:val="-14"/>
          <w:sz w:val="18"/>
        </w:rPr>
        <w:t> </w:t>
      </w:r>
      <w:r>
        <w:rPr>
          <w:sz w:val="18"/>
        </w:rPr>
        <w:t>no</w:t>
      </w:r>
      <w:r>
        <w:rPr>
          <w:spacing w:val="-14"/>
          <w:sz w:val="18"/>
        </w:rPr>
        <w:t> </w:t>
      </w:r>
      <w:r>
        <w:rPr>
          <w:sz w:val="18"/>
        </w:rPr>
        <w:t>chance</w:t>
      </w:r>
      <w:r>
        <w:rPr>
          <w:spacing w:val="-14"/>
          <w:sz w:val="18"/>
        </w:rPr>
        <w:t> </w:t>
      </w:r>
      <w:r>
        <w:rPr>
          <w:sz w:val="18"/>
        </w:rPr>
        <w:t>of</w:t>
      </w:r>
      <w:r>
        <w:rPr>
          <w:spacing w:val="-14"/>
          <w:sz w:val="18"/>
        </w:rPr>
        <w:t> </w:t>
      </w:r>
      <w:r>
        <w:rPr>
          <w:sz w:val="18"/>
        </w:rPr>
        <w:t>developing</w:t>
      </w:r>
      <w:r>
        <w:rPr>
          <w:spacing w:val="-14"/>
          <w:sz w:val="18"/>
        </w:rPr>
        <w:t> </w:t>
      </w:r>
      <w:r>
        <w:rPr>
          <w:sz w:val="18"/>
        </w:rPr>
        <w:t>a serious health</w:t>
      </w:r>
      <w:r>
        <w:rPr>
          <w:spacing w:val="-5"/>
          <w:sz w:val="18"/>
        </w:rPr>
        <w:t> </w:t>
      </w:r>
      <w:r>
        <w:rPr>
          <w:sz w:val="18"/>
        </w:rPr>
        <w:t>condition).</w:t>
      </w:r>
    </w:p>
    <w:p>
      <w:pPr>
        <w:spacing w:after="0" w:line="283" w:lineRule="auto"/>
        <w:jc w:val="left"/>
        <w:rPr>
          <w:sz w:val="18"/>
        </w:rPr>
        <w:sectPr>
          <w:pgSz w:w="11910" w:h="16840"/>
          <w:pgMar w:top="1560" w:bottom="280" w:left="0" w:right="0"/>
          <w:cols w:num="2" w:equalWidth="0">
            <w:col w:w="5573" w:space="40"/>
            <w:col w:w="6297"/>
          </w:cols>
        </w:sectPr>
      </w:pPr>
    </w:p>
    <w:p>
      <w:pPr>
        <w:pStyle w:val="BodyText"/>
        <w:spacing w:before="8"/>
        <w:rPr>
          <w:sz w:val="19"/>
        </w:rPr>
      </w:pPr>
    </w:p>
    <w:p>
      <w:pPr>
        <w:pStyle w:val="BodyText"/>
        <w:rPr>
          <w:sz w:val="20"/>
        </w:rPr>
      </w:pPr>
      <w:r>
        <w:rPr>
          <w:sz w:val="20"/>
        </w:rPr>
        <w:pict>
          <v:group style="width:286.3pt;height:104.2pt;mso-position-horizontal-relative:char;mso-position-vertical-relative:line" coordorigin="0,0" coordsize="5726,2084">
            <v:rect style="position:absolute;left:0;top:0;width:5726;height:2084" filled="true" fillcolor="#1c75bc" stroked="false">
              <v:fill opacity="9830f" type="solid"/>
            </v:rect>
            <v:shape style="position:absolute;left:1927;top:1110;width:114;height:176" type="#_x0000_t75" stroked="false">
              <v:imagedata r:id="rId13" o:title=""/>
            </v:shape>
            <v:shape style="position:absolute;left:0;top:0;width:5726;height:2084" type="#_x0000_t202" filled="false" stroked="false">
              <v:textbox inset="0,0,0,0">
                <w:txbxContent>
                  <w:p>
                    <w:pPr>
                      <w:spacing w:before="201"/>
                      <w:ind w:left="1927" w:right="0" w:firstLine="0"/>
                      <w:jc w:val="left"/>
                      <w:rPr>
                        <w:rFonts w:ascii="Arial"/>
                        <w:sz w:val="28"/>
                      </w:rPr>
                    </w:pPr>
                    <w:r>
                      <w:rPr>
                        <w:rFonts w:ascii="Arial"/>
                        <w:sz w:val="28"/>
                      </w:rPr>
                      <w:t>Conclusion</w:t>
                    </w:r>
                  </w:p>
                  <w:p>
                    <w:pPr>
                      <w:spacing w:before="159"/>
                      <w:ind w:left="2210" w:right="0" w:hanging="284"/>
                      <w:jc w:val="left"/>
                      <w:rPr>
                        <w:sz w:val="18"/>
                      </w:rPr>
                    </w:pPr>
                    <w:r>
                      <w:rPr>
                        <w:sz w:val="18"/>
                      </w:rPr>
                      <w:t>The findings above support the conclusion that:</w:t>
                    </w:r>
                  </w:p>
                  <w:p>
                    <w:pPr>
                      <w:spacing w:line="283" w:lineRule="auto" w:before="170"/>
                      <w:ind w:left="2210" w:right="292" w:firstLine="0"/>
                      <w:jc w:val="left"/>
                      <w:rPr>
                        <w:sz w:val="18"/>
                      </w:rPr>
                    </w:pPr>
                    <w:r>
                      <w:rPr>
                        <w:sz w:val="18"/>
                      </w:rPr>
                      <w:t>Low</w:t>
                    </w:r>
                    <w:r>
                      <w:rPr>
                        <w:spacing w:val="-15"/>
                        <w:sz w:val="18"/>
                      </w:rPr>
                      <w:t> </w:t>
                    </w:r>
                    <w:r>
                      <w:rPr>
                        <w:sz w:val="18"/>
                      </w:rPr>
                      <w:t>levels</w:t>
                    </w:r>
                    <w:r>
                      <w:rPr>
                        <w:spacing w:val="-15"/>
                        <w:sz w:val="18"/>
                      </w:rPr>
                      <w:t> </w:t>
                    </w:r>
                    <w:r>
                      <w:rPr>
                        <w:sz w:val="18"/>
                      </w:rPr>
                      <w:t>of</w:t>
                    </w:r>
                    <w:r>
                      <w:rPr>
                        <w:spacing w:val="-15"/>
                        <w:sz w:val="18"/>
                      </w:rPr>
                      <w:t> </w:t>
                    </w:r>
                    <w:r>
                      <w:rPr>
                        <w:sz w:val="18"/>
                      </w:rPr>
                      <w:t>risk</w:t>
                    </w:r>
                    <w:r>
                      <w:rPr>
                        <w:spacing w:val="-15"/>
                        <w:sz w:val="18"/>
                      </w:rPr>
                      <w:t> </w:t>
                    </w:r>
                    <w:r>
                      <w:rPr>
                        <w:sz w:val="18"/>
                      </w:rPr>
                      <w:t>literacy</w:t>
                    </w:r>
                    <w:r>
                      <w:rPr>
                        <w:spacing w:val="-15"/>
                        <w:sz w:val="18"/>
                      </w:rPr>
                      <w:t> </w:t>
                    </w:r>
                    <w:r>
                      <w:rPr>
                        <w:sz w:val="18"/>
                      </w:rPr>
                      <w:t>relating</w:t>
                    </w:r>
                    <w:r>
                      <w:rPr>
                        <w:spacing w:val="-15"/>
                        <w:sz w:val="18"/>
                      </w:rPr>
                      <w:t> </w:t>
                    </w:r>
                    <w:r>
                      <w:rPr>
                        <w:sz w:val="18"/>
                      </w:rPr>
                      <w:t>to</w:t>
                    </w:r>
                    <w:r>
                      <w:rPr>
                        <w:spacing w:val="-15"/>
                        <w:sz w:val="18"/>
                      </w:rPr>
                      <w:t> </w:t>
                    </w:r>
                    <w:r>
                      <w:rPr>
                        <w:sz w:val="18"/>
                      </w:rPr>
                      <w:t>products containing asbestos is a barrier to informed decision-making</w:t>
                    </w:r>
                  </w:p>
                </w:txbxContent>
              </v:textbox>
              <w10:wrap type="none"/>
            </v:shape>
          </v:group>
        </w:pict>
      </w:r>
      <w:r>
        <w:rPr>
          <w:sz w:val="20"/>
        </w:rPr>
      </w:r>
    </w:p>
    <w:p>
      <w:pPr>
        <w:spacing w:after="0"/>
        <w:rPr>
          <w:sz w:val="20"/>
        </w:rPr>
        <w:sectPr>
          <w:type w:val="continuous"/>
          <w:pgSz w:w="11910" w:h="16840"/>
          <w:pgMar w:top="1580" w:bottom="280" w:left="0" w:right="0"/>
        </w:sectPr>
      </w:pPr>
    </w:p>
    <w:p>
      <w:pPr>
        <w:pStyle w:val="Heading1"/>
        <w:spacing w:line="225" w:lineRule="auto" w:before="124"/>
        <w:ind w:right="2704"/>
      </w:pPr>
      <w:r>
        <w:rPr/>
        <w:pict>
          <v:shape style="position:absolute;margin-left:56.693401pt;margin-top:.071110pt;width:21.95pt;height:38.35pt;mso-position-horizontal-relative:page;mso-position-vertical-relative:paragraph;z-index:2104" coordorigin="1134,1" coordsize="439,767" path="m1189,1l1135,56,1463,384,1134,713,1189,768,1572,384,1189,1xe" filled="true" fillcolor="#d71920" stroked="false">
            <v:path arrowok="t"/>
            <v:fill type="solid"/>
            <w10:wrap type="none"/>
          </v:shape>
        </w:pict>
      </w:r>
      <w:r>
        <w:rPr>
          <w:color w:val="1C75BC"/>
          <w:spacing w:val="10"/>
          <w:w w:val="75"/>
        </w:rPr>
        <w:t>ENCOURAGING</w:t>
      </w:r>
      <w:r>
        <w:rPr>
          <w:color w:val="1C75BC"/>
          <w:spacing w:val="-53"/>
          <w:w w:val="75"/>
        </w:rPr>
        <w:t> </w:t>
      </w:r>
      <w:r>
        <w:rPr>
          <w:color w:val="1C75BC"/>
          <w:spacing w:val="8"/>
          <w:w w:val="75"/>
        </w:rPr>
        <w:t>ASBESTOS</w:t>
      </w:r>
      <w:r>
        <w:rPr>
          <w:color w:val="1C75BC"/>
          <w:spacing w:val="-53"/>
          <w:w w:val="75"/>
        </w:rPr>
        <w:t> </w:t>
      </w:r>
      <w:r>
        <w:rPr>
          <w:color w:val="1C75BC"/>
          <w:spacing w:val="10"/>
          <w:w w:val="75"/>
        </w:rPr>
        <w:t>DISPOSAL</w:t>
      </w:r>
      <w:r>
        <w:rPr>
          <w:color w:val="1C75BC"/>
          <w:spacing w:val="-53"/>
          <w:w w:val="75"/>
        </w:rPr>
        <w:t> </w:t>
      </w:r>
      <w:r>
        <w:rPr>
          <w:color w:val="1C75BC"/>
          <w:spacing w:val="10"/>
          <w:w w:val="75"/>
        </w:rPr>
        <w:t>VIA </w:t>
      </w:r>
      <w:r>
        <w:rPr>
          <w:color w:val="1C75BC"/>
          <w:spacing w:val="8"/>
          <w:w w:val="80"/>
        </w:rPr>
        <w:t>GOVERNMENT</w:t>
      </w:r>
      <w:r>
        <w:rPr>
          <w:color w:val="1C75BC"/>
          <w:spacing w:val="7"/>
          <w:w w:val="80"/>
        </w:rPr>
        <w:t> </w:t>
      </w:r>
      <w:r>
        <w:rPr>
          <w:color w:val="1C75BC"/>
          <w:spacing w:val="10"/>
          <w:w w:val="80"/>
        </w:rPr>
        <w:t>INITIATIVES</w:t>
      </w:r>
    </w:p>
    <w:p>
      <w:pPr>
        <w:pStyle w:val="BodyText"/>
        <w:rPr>
          <w:rFonts w:ascii="Arial"/>
          <w:sz w:val="20"/>
        </w:rPr>
      </w:pPr>
    </w:p>
    <w:p>
      <w:pPr>
        <w:pStyle w:val="BodyText"/>
        <w:rPr>
          <w:rFonts w:ascii="Arial"/>
          <w:sz w:val="20"/>
        </w:rPr>
      </w:pPr>
    </w:p>
    <w:p>
      <w:pPr>
        <w:pStyle w:val="BodyText"/>
        <w:spacing w:before="5"/>
        <w:rPr>
          <w:rFonts w:ascii="Arial"/>
          <w:sz w:val="22"/>
        </w:rPr>
      </w:pPr>
    </w:p>
    <w:p>
      <w:pPr>
        <w:spacing w:after="0"/>
        <w:rPr>
          <w:rFonts w:ascii="Arial"/>
          <w:sz w:val="22"/>
        </w:rPr>
        <w:sectPr>
          <w:pgSz w:w="11910" w:h="16840"/>
          <w:pgMar w:top="1540" w:bottom="280" w:left="0" w:right="0"/>
        </w:sectPr>
      </w:pPr>
    </w:p>
    <w:p>
      <w:pPr>
        <w:pStyle w:val="BodyText"/>
        <w:spacing w:line="283" w:lineRule="auto" w:before="98"/>
        <w:ind w:left="1700" w:right="32"/>
      </w:pPr>
      <w:r>
        <w:rPr/>
        <w:pict>
          <v:rect style="position:absolute;margin-left:0pt;margin-top:-18.792536pt;width:595.276pt;height:7.3pt;mso-position-horizontal-relative:page;mso-position-vertical-relative:paragraph;z-index:2080" filled="true" fillcolor="#000000" stroked="false">
            <v:fill opacity="49152f" type="solid"/>
            <w10:wrap type="none"/>
          </v:rect>
        </w:pict>
      </w:r>
      <w:r>
        <w:rPr/>
        <w:t>Both the qualitative and quantitative phases of the research investigated perceptions and potential impacts of government initiatives on homeowners’ likelihood to remove asbestos. The findings from each phase are outlined in brief below.</w:t>
      </w:r>
    </w:p>
    <w:p>
      <w:pPr>
        <w:pStyle w:val="Heading2"/>
        <w:spacing w:before="102"/>
      </w:pPr>
      <w:r>
        <w:rPr>
          <w:w w:val="90"/>
        </w:rPr>
        <w:t>Qualitative phase</w:t>
      </w:r>
    </w:p>
    <w:p>
      <w:pPr>
        <w:pStyle w:val="BodyText"/>
        <w:spacing w:line="283" w:lineRule="auto" w:before="159"/>
        <w:ind w:left="1700" w:right="314"/>
      </w:pPr>
      <w:r>
        <w:rPr/>
        <w:t>Opinions of focus group participants were mixed in</w:t>
      </w:r>
      <w:r>
        <w:rPr>
          <w:spacing w:val="-13"/>
        </w:rPr>
        <w:t> </w:t>
      </w:r>
      <w:r>
        <w:rPr/>
        <w:t>relation</w:t>
      </w:r>
      <w:r>
        <w:rPr>
          <w:spacing w:val="-13"/>
        </w:rPr>
        <w:t> </w:t>
      </w:r>
      <w:r>
        <w:rPr/>
        <w:t>to</w:t>
      </w:r>
      <w:r>
        <w:rPr>
          <w:spacing w:val="-13"/>
        </w:rPr>
        <w:t> </w:t>
      </w:r>
      <w:r>
        <w:rPr/>
        <w:t>who</w:t>
      </w:r>
      <w:r>
        <w:rPr>
          <w:spacing w:val="-13"/>
        </w:rPr>
        <w:t> </w:t>
      </w:r>
      <w:r>
        <w:rPr/>
        <w:t>holds</w:t>
      </w:r>
      <w:r>
        <w:rPr>
          <w:spacing w:val="-13"/>
        </w:rPr>
        <w:t> </w:t>
      </w:r>
      <w:r>
        <w:rPr/>
        <w:t>responsibility</w:t>
      </w:r>
      <w:r>
        <w:rPr>
          <w:spacing w:val="-13"/>
        </w:rPr>
        <w:t> </w:t>
      </w:r>
      <w:r>
        <w:rPr/>
        <w:t>for</w:t>
      </w:r>
      <w:r>
        <w:rPr>
          <w:spacing w:val="-13"/>
        </w:rPr>
        <w:t> </w:t>
      </w:r>
      <w:r>
        <w:rPr/>
        <w:t>asbestos removal. While most acknowledged that in part, responsibility</w:t>
      </w:r>
      <w:r>
        <w:rPr>
          <w:spacing w:val="-11"/>
        </w:rPr>
        <w:t> </w:t>
      </w:r>
      <w:r>
        <w:rPr/>
        <w:t>fell</w:t>
      </w:r>
      <w:r>
        <w:rPr>
          <w:spacing w:val="-11"/>
        </w:rPr>
        <w:t> </w:t>
      </w:r>
      <w:r>
        <w:rPr/>
        <w:t>with</w:t>
      </w:r>
      <w:r>
        <w:rPr>
          <w:spacing w:val="-11"/>
        </w:rPr>
        <w:t> </w:t>
      </w:r>
      <w:r>
        <w:rPr/>
        <w:t>homeowners</w:t>
      </w:r>
      <w:r>
        <w:rPr>
          <w:spacing w:val="-11"/>
        </w:rPr>
        <w:t> </w:t>
      </w:r>
      <w:r>
        <w:rPr/>
        <w:t>given</w:t>
      </w:r>
      <w:r>
        <w:rPr>
          <w:spacing w:val="-11"/>
        </w:rPr>
        <w:t> </w:t>
      </w:r>
      <w:r>
        <w:rPr/>
        <w:t>they</w:t>
      </w:r>
      <w:r>
        <w:rPr>
          <w:spacing w:val="-11"/>
        </w:rPr>
        <w:t> </w:t>
      </w:r>
      <w:r>
        <w:rPr/>
        <w:t>had</w:t>
      </w:r>
    </w:p>
    <w:p>
      <w:pPr>
        <w:pStyle w:val="BodyText"/>
        <w:spacing w:line="283" w:lineRule="auto" w:before="3"/>
        <w:ind w:left="1700"/>
      </w:pPr>
      <w:r>
        <w:rPr/>
        <w:t>purchased</w:t>
      </w:r>
      <w:r>
        <w:rPr>
          <w:spacing w:val="-15"/>
        </w:rPr>
        <w:t> </w:t>
      </w:r>
      <w:r>
        <w:rPr/>
        <w:t>the</w:t>
      </w:r>
      <w:r>
        <w:rPr>
          <w:spacing w:val="-15"/>
        </w:rPr>
        <w:t> </w:t>
      </w:r>
      <w:r>
        <w:rPr/>
        <w:t>property,</w:t>
      </w:r>
      <w:r>
        <w:rPr>
          <w:spacing w:val="-15"/>
        </w:rPr>
        <w:t> </w:t>
      </w:r>
      <w:r>
        <w:rPr/>
        <w:t>most</w:t>
      </w:r>
      <w:r>
        <w:rPr>
          <w:spacing w:val="-15"/>
        </w:rPr>
        <w:t> </w:t>
      </w:r>
      <w:r>
        <w:rPr/>
        <w:t>also</w:t>
      </w:r>
      <w:r>
        <w:rPr>
          <w:spacing w:val="-15"/>
        </w:rPr>
        <w:t> </w:t>
      </w:r>
      <w:r>
        <w:rPr/>
        <w:t>felt</w:t>
      </w:r>
      <w:r>
        <w:rPr>
          <w:spacing w:val="-15"/>
        </w:rPr>
        <w:t> </w:t>
      </w:r>
      <w:r>
        <w:rPr/>
        <w:t>that</w:t>
      </w:r>
      <w:r>
        <w:rPr>
          <w:spacing w:val="-15"/>
        </w:rPr>
        <w:t> </w:t>
      </w:r>
      <w:r>
        <w:rPr/>
        <w:t>government should provide at least some support. The rationale behind</w:t>
      </w:r>
      <w:r>
        <w:rPr>
          <w:spacing w:val="-6"/>
        </w:rPr>
        <w:t> </w:t>
      </w:r>
      <w:r>
        <w:rPr/>
        <w:t>this</w:t>
      </w:r>
      <w:r>
        <w:rPr>
          <w:spacing w:val="-6"/>
        </w:rPr>
        <w:t> </w:t>
      </w:r>
      <w:r>
        <w:rPr/>
        <w:t>revolved</w:t>
      </w:r>
      <w:r>
        <w:rPr>
          <w:spacing w:val="-6"/>
        </w:rPr>
        <w:t> </w:t>
      </w:r>
      <w:r>
        <w:rPr/>
        <w:t>around</w:t>
      </w:r>
      <w:r>
        <w:rPr>
          <w:spacing w:val="-6"/>
        </w:rPr>
        <w:t> </w:t>
      </w:r>
      <w:r>
        <w:rPr/>
        <w:t>the</w:t>
      </w:r>
      <w:r>
        <w:rPr>
          <w:spacing w:val="-6"/>
        </w:rPr>
        <w:t> </w:t>
      </w:r>
      <w:r>
        <w:rPr/>
        <w:t>unprohibited</w:t>
      </w:r>
      <w:r>
        <w:rPr>
          <w:spacing w:val="-6"/>
        </w:rPr>
        <w:t> </w:t>
      </w:r>
      <w:r>
        <w:rPr/>
        <w:t>use</w:t>
      </w:r>
    </w:p>
    <w:p>
      <w:pPr>
        <w:pStyle w:val="BodyText"/>
        <w:spacing w:line="283" w:lineRule="auto" w:before="2"/>
        <w:ind w:left="1700" w:right="216"/>
      </w:pPr>
      <w:r>
        <w:rPr/>
        <w:t>of asbestos after the government had known about its related dangers, the general responsibility of government to care for citizens and the fact that removal was likely to be costly.</w:t>
      </w:r>
    </w:p>
    <w:p>
      <w:pPr>
        <w:pStyle w:val="BodyText"/>
        <w:spacing w:line="283" w:lineRule="auto" w:before="132"/>
        <w:ind w:left="1700" w:right="153"/>
      </w:pPr>
      <w:r>
        <w:rPr/>
        <w:t>Four hypothetical government initiatives were presented and discussed with focus group participants to gauge the effectiveness of each as an</w:t>
      </w:r>
    </w:p>
    <w:p>
      <w:pPr>
        <w:pStyle w:val="BodyText"/>
        <w:spacing w:line="283" w:lineRule="auto" w:before="2"/>
        <w:ind w:left="1700" w:right="6"/>
        <w:jc w:val="both"/>
      </w:pPr>
      <w:r>
        <w:rPr/>
        <w:t>encouragement</w:t>
      </w:r>
      <w:r>
        <w:rPr>
          <w:spacing w:val="-17"/>
        </w:rPr>
        <w:t> </w:t>
      </w:r>
      <w:r>
        <w:rPr/>
        <w:t>for</w:t>
      </w:r>
      <w:r>
        <w:rPr>
          <w:spacing w:val="-17"/>
        </w:rPr>
        <w:t> </w:t>
      </w:r>
      <w:r>
        <w:rPr/>
        <w:t>asbestos</w:t>
      </w:r>
      <w:r>
        <w:rPr>
          <w:spacing w:val="-17"/>
        </w:rPr>
        <w:t> </w:t>
      </w:r>
      <w:r>
        <w:rPr/>
        <w:t>removal.</w:t>
      </w:r>
      <w:r>
        <w:rPr>
          <w:spacing w:val="-17"/>
        </w:rPr>
        <w:t> </w:t>
      </w:r>
      <w:r>
        <w:rPr/>
        <w:t>For</w:t>
      </w:r>
      <w:r>
        <w:rPr>
          <w:spacing w:val="-17"/>
        </w:rPr>
        <w:t> </w:t>
      </w:r>
      <w:r>
        <w:rPr/>
        <w:t>homeowners likely</w:t>
      </w:r>
      <w:r>
        <w:rPr>
          <w:spacing w:val="-18"/>
        </w:rPr>
        <w:t> </w:t>
      </w:r>
      <w:r>
        <w:rPr/>
        <w:t>to</w:t>
      </w:r>
      <w:r>
        <w:rPr>
          <w:spacing w:val="-18"/>
        </w:rPr>
        <w:t> </w:t>
      </w:r>
      <w:r>
        <w:rPr/>
        <w:t>employ</w:t>
      </w:r>
      <w:r>
        <w:rPr>
          <w:spacing w:val="-18"/>
        </w:rPr>
        <w:t> </w:t>
      </w:r>
      <w:r>
        <w:rPr/>
        <w:t>a</w:t>
      </w:r>
      <w:r>
        <w:rPr>
          <w:spacing w:val="-18"/>
        </w:rPr>
        <w:t> </w:t>
      </w:r>
      <w:r>
        <w:rPr/>
        <w:t>professional</w:t>
      </w:r>
      <w:r>
        <w:rPr>
          <w:spacing w:val="-18"/>
        </w:rPr>
        <w:t> </w:t>
      </w:r>
      <w:r>
        <w:rPr/>
        <w:t>for</w:t>
      </w:r>
      <w:r>
        <w:rPr>
          <w:spacing w:val="-18"/>
        </w:rPr>
        <w:t> </w:t>
      </w:r>
      <w:r>
        <w:rPr/>
        <w:t>removal,</w:t>
      </w:r>
      <w:r>
        <w:rPr>
          <w:spacing w:val="-18"/>
        </w:rPr>
        <w:t> </w:t>
      </w:r>
      <w:r>
        <w:rPr/>
        <w:t>an</w:t>
      </w:r>
      <w:r>
        <w:rPr>
          <w:spacing w:val="-18"/>
        </w:rPr>
        <w:t> </w:t>
      </w:r>
      <w:r>
        <w:rPr/>
        <w:t>approach incorporating</w:t>
      </w:r>
      <w:r>
        <w:rPr>
          <w:spacing w:val="-6"/>
        </w:rPr>
        <w:t> </w:t>
      </w:r>
      <w:r>
        <w:rPr/>
        <w:t>a</w:t>
      </w:r>
      <w:r>
        <w:rPr>
          <w:spacing w:val="-6"/>
        </w:rPr>
        <w:t> </w:t>
      </w:r>
      <w:r>
        <w:rPr/>
        <w:t>cost</w:t>
      </w:r>
      <w:r>
        <w:rPr>
          <w:spacing w:val="-6"/>
        </w:rPr>
        <w:t> </w:t>
      </w:r>
      <w:r>
        <w:rPr/>
        <w:t>reduction</w:t>
      </w:r>
      <w:r>
        <w:rPr>
          <w:spacing w:val="-6"/>
        </w:rPr>
        <w:t> </w:t>
      </w:r>
      <w:r>
        <w:rPr/>
        <w:t>or</w:t>
      </w:r>
      <w:r>
        <w:rPr>
          <w:spacing w:val="-6"/>
        </w:rPr>
        <w:t> </w:t>
      </w:r>
      <w:r>
        <w:rPr/>
        <w:t>rebate</w:t>
      </w:r>
      <w:r>
        <w:rPr>
          <w:spacing w:val="-6"/>
        </w:rPr>
        <w:t> </w:t>
      </w:r>
      <w:r>
        <w:rPr/>
        <w:t>of</w:t>
      </w:r>
      <w:r>
        <w:rPr>
          <w:spacing w:val="-6"/>
        </w:rPr>
        <w:t> </w:t>
      </w:r>
      <w:r>
        <w:rPr/>
        <w:t>some</w:t>
      </w:r>
    </w:p>
    <w:p>
      <w:pPr>
        <w:pStyle w:val="BodyText"/>
        <w:spacing w:line="283" w:lineRule="auto" w:before="2"/>
        <w:ind w:left="1700" w:right="199"/>
      </w:pPr>
      <w:r>
        <w:rPr/>
        <w:t>level</w:t>
      </w:r>
      <w:r>
        <w:rPr>
          <w:spacing w:val="-11"/>
        </w:rPr>
        <w:t> </w:t>
      </w:r>
      <w:r>
        <w:rPr/>
        <w:t>was</w:t>
      </w:r>
      <w:r>
        <w:rPr>
          <w:spacing w:val="-11"/>
        </w:rPr>
        <w:t> </w:t>
      </w:r>
      <w:r>
        <w:rPr/>
        <w:t>the</w:t>
      </w:r>
      <w:r>
        <w:rPr>
          <w:spacing w:val="-11"/>
        </w:rPr>
        <w:t> </w:t>
      </w:r>
      <w:r>
        <w:rPr/>
        <w:t>most</w:t>
      </w:r>
      <w:r>
        <w:rPr>
          <w:spacing w:val="-11"/>
        </w:rPr>
        <w:t> </w:t>
      </w:r>
      <w:r>
        <w:rPr/>
        <w:t>favoured.</w:t>
      </w:r>
      <w:r>
        <w:rPr>
          <w:spacing w:val="-11"/>
        </w:rPr>
        <w:t> </w:t>
      </w:r>
      <w:r>
        <w:rPr/>
        <w:t>A</w:t>
      </w:r>
      <w:r>
        <w:rPr>
          <w:spacing w:val="-11"/>
        </w:rPr>
        <w:t> </w:t>
      </w:r>
      <w:r>
        <w:rPr/>
        <w:t>collection</w:t>
      </w:r>
      <w:r>
        <w:rPr>
          <w:spacing w:val="-11"/>
        </w:rPr>
        <w:t> </w:t>
      </w:r>
      <w:r>
        <w:rPr/>
        <w:t>service</w:t>
      </w:r>
      <w:r>
        <w:rPr>
          <w:spacing w:val="-11"/>
        </w:rPr>
        <w:t> </w:t>
      </w:r>
      <w:r>
        <w:rPr/>
        <w:t>or</w:t>
      </w:r>
      <w:r>
        <w:rPr>
          <w:spacing w:val="-11"/>
        </w:rPr>
        <w:t> </w:t>
      </w:r>
      <w:r>
        <w:rPr/>
        <w:t>a reduced fee at the tip was more popular with those who would consider self-removal. Some expressed an</w:t>
      </w:r>
      <w:r>
        <w:rPr>
          <w:spacing w:val="-10"/>
        </w:rPr>
        <w:t> </w:t>
      </w:r>
      <w:r>
        <w:rPr/>
        <w:t>aversion</w:t>
      </w:r>
      <w:r>
        <w:rPr>
          <w:spacing w:val="-10"/>
        </w:rPr>
        <w:t> </w:t>
      </w:r>
      <w:r>
        <w:rPr/>
        <w:t>to</w:t>
      </w:r>
      <w:r>
        <w:rPr>
          <w:spacing w:val="-10"/>
        </w:rPr>
        <w:t> </w:t>
      </w:r>
      <w:r>
        <w:rPr/>
        <w:t>a</w:t>
      </w:r>
      <w:r>
        <w:rPr>
          <w:spacing w:val="-10"/>
        </w:rPr>
        <w:t> </w:t>
      </w:r>
      <w:r>
        <w:rPr/>
        <w:t>collection</w:t>
      </w:r>
      <w:r>
        <w:rPr>
          <w:spacing w:val="-10"/>
        </w:rPr>
        <w:t> </w:t>
      </w:r>
      <w:r>
        <w:rPr/>
        <w:t>service</w:t>
      </w:r>
      <w:r>
        <w:rPr>
          <w:spacing w:val="-10"/>
        </w:rPr>
        <w:t> </w:t>
      </w:r>
      <w:r>
        <w:rPr/>
        <w:t>or</w:t>
      </w:r>
      <w:r>
        <w:rPr>
          <w:spacing w:val="-10"/>
        </w:rPr>
        <w:t> </w:t>
      </w:r>
      <w:r>
        <w:rPr/>
        <w:t>reduced</w:t>
      </w:r>
      <w:r>
        <w:rPr>
          <w:spacing w:val="-10"/>
        </w:rPr>
        <w:t> </w:t>
      </w:r>
      <w:r>
        <w:rPr/>
        <w:t>tip</w:t>
      </w:r>
      <w:r>
        <w:rPr>
          <w:spacing w:val="-10"/>
        </w:rPr>
        <w:t> </w:t>
      </w:r>
      <w:r>
        <w:rPr/>
        <w:t>fee as</w:t>
      </w:r>
      <w:r>
        <w:rPr>
          <w:spacing w:val="-18"/>
        </w:rPr>
        <w:t> </w:t>
      </w:r>
      <w:r>
        <w:rPr/>
        <w:t>they</w:t>
      </w:r>
      <w:r>
        <w:rPr>
          <w:spacing w:val="-18"/>
        </w:rPr>
        <w:t> </w:t>
      </w:r>
      <w:r>
        <w:rPr/>
        <w:t>felt</w:t>
      </w:r>
      <w:r>
        <w:rPr>
          <w:spacing w:val="-18"/>
        </w:rPr>
        <w:t> </w:t>
      </w:r>
      <w:r>
        <w:rPr/>
        <w:t>this</w:t>
      </w:r>
      <w:r>
        <w:rPr>
          <w:spacing w:val="-18"/>
        </w:rPr>
        <w:t> </w:t>
      </w:r>
      <w:r>
        <w:rPr/>
        <w:t>would</w:t>
      </w:r>
      <w:r>
        <w:rPr>
          <w:spacing w:val="-18"/>
        </w:rPr>
        <w:t> </w:t>
      </w:r>
      <w:r>
        <w:rPr/>
        <w:t>incentivise</w:t>
      </w:r>
      <w:r>
        <w:rPr>
          <w:spacing w:val="-18"/>
        </w:rPr>
        <w:t> </w:t>
      </w:r>
      <w:r>
        <w:rPr/>
        <w:t>self-removal,</w:t>
      </w:r>
      <w:r>
        <w:rPr>
          <w:spacing w:val="-18"/>
        </w:rPr>
        <w:t> </w:t>
      </w:r>
      <w:r>
        <w:rPr/>
        <w:t>which</w:t>
      </w:r>
    </w:p>
    <w:p>
      <w:pPr>
        <w:pStyle w:val="BodyText"/>
        <w:spacing w:line="283" w:lineRule="auto" w:before="3"/>
        <w:ind w:left="1700" w:right="34"/>
      </w:pPr>
      <w:r>
        <w:rPr/>
        <w:t>they did not support given the associated health risks. Others were sceptical on the viability of the initiatives as participants struggled to understand where the funding would be drawn from.</w:t>
      </w:r>
    </w:p>
    <w:p>
      <w:pPr>
        <w:pStyle w:val="BodyText"/>
        <w:spacing w:line="283" w:lineRule="auto" w:before="135"/>
        <w:ind w:left="1984" w:right="39" w:hanging="284"/>
      </w:pPr>
      <w:r>
        <w:rPr>
          <w:position w:val="-3"/>
        </w:rPr>
        <w:drawing>
          <wp:inline distT="0" distB="0" distL="0" distR="0">
            <wp:extent cx="71843" cy="111455"/>
            <wp:effectExtent l="0" t="0" r="0" b="0"/>
            <wp:docPr id="69" name="image11.png" descr=""/>
            <wp:cNvGraphicFramePr>
              <a:graphicFrameLocks noChangeAspect="1"/>
            </wp:cNvGraphicFramePr>
            <a:graphic>
              <a:graphicData uri="http://schemas.openxmlformats.org/drawingml/2006/picture">
                <pic:pic>
                  <pic:nvPicPr>
                    <pic:cNvPr id="70" name="image11.png"/>
                    <pic:cNvPicPr/>
                  </pic:nvPicPr>
                  <pic:blipFill>
                    <a:blip r:embed="rId15" cstate="print"/>
                    <a:stretch>
                      <a:fillRect/>
                    </a:stretch>
                  </pic:blipFill>
                  <pic:spPr>
                    <a:xfrm>
                      <a:off x="0" y="0"/>
                      <a:ext cx="71843" cy="111455"/>
                    </a:xfrm>
                    <a:prstGeom prst="rect">
                      <a:avLst/>
                    </a:prstGeom>
                  </pic:spPr>
                </pic:pic>
              </a:graphicData>
            </a:graphic>
          </wp:inline>
        </w:drawing>
      </w:r>
      <w:r>
        <w:rPr>
          <w:position w:val="-3"/>
        </w:rPr>
      </w:r>
      <w:r>
        <w:rPr>
          <w:rFonts w:ascii="Times New Roman" w:hAnsi="Times New Roman"/>
          <w:sz w:val="20"/>
        </w:rPr>
        <w:t>  </w:t>
      </w:r>
      <w:r>
        <w:rPr>
          <w:rFonts w:ascii="Times New Roman" w:hAnsi="Times New Roman"/>
          <w:spacing w:val="20"/>
          <w:sz w:val="20"/>
        </w:rPr>
        <w:t> </w:t>
      </w:r>
      <w:r>
        <w:rPr>
          <w:spacing w:val="1"/>
        </w:rPr>
        <w:t>Offset </w:t>
      </w:r>
      <w:r>
        <w:rPr/>
        <w:t>in council rates: An offset in council rates was the most preferred hypothetical government initiative</w:t>
      </w:r>
      <w:r>
        <w:rPr>
          <w:spacing w:val="-22"/>
        </w:rPr>
        <w:t> </w:t>
      </w:r>
      <w:r>
        <w:rPr/>
        <w:t>presented</w:t>
      </w:r>
      <w:r>
        <w:rPr>
          <w:spacing w:val="-22"/>
        </w:rPr>
        <w:t> </w:t>
      </w:r>
      <w:r>
        <w:rPr/>
        <w:t>to</w:t>
      </w:r>
      <w:r>
        <w:rPr>
          <w:spacing w:val="-22"/>
        </w:rPr>
        <w:t> </w:t>
      </w:r>
      <w:r>
        <w:rPr/>
        <w:t>homeowners,</w:t>
      </w:r>
      <w:r>
        <w:rPr>
          <w:spacing w:val="-22"/>
        </w:rPr>
        <w:t> </w:t>
      </w:r>
      <w:r>
        <w:rPr/>
        <w:t>ultimately</w:t>
      </w:r>
      <w:r>
        <w:rPr>
          <w:spacing w:val="-22"/>
        </w:rPr>
        <w:t> </w:t>
      </w:r>
      <w:r>
        <w:rPr/>
        <w:t>due to its rebate aspect. However, while homeowners recognised that a ‘fair’ or ‘reasonable’ amount would</w:t>
      </w:r>
      <w:r>
        <w:rPr>
          <w:spacing w:val="-8"/>
        </w:rPr>
        <w:t> </w:t>
      </w:r>
      <w:r>
        <w:rPr/>
        <w:t>likely</w:t>
      </w:r>
      <w:r>
        <w:rPr>
          <w:spacing w:val="-8"/>
        </w:rPr>
        <w:t> </w:t>
      </w:r>
      <w:r>
        <w:rPr/>
        <w:t>not</w:t>
      </w:r>
      <w:r>
        <w:rPr>
          <w:spacing w:val="-8"/>
        </w:rPr>
        <w:t> </w:t>
      </w:r>
      <w:r>
        <w:rPr/>
        <w:t>cover</w:t>
      </w:r>
      <w:r>
        <w:rPr>
          <w:spacing w:val="-8"/>
        </w:rPr>
        <w:t> </w:t>
      </w:r>
      <w:r>
        <w:rPr/>
        <w:t>the</w:t>
      </w:r>
      <w:r>
        <w:rPr>
          <w:spacing w:val="-8"/>
        </w:rPr>
        <w:t> </w:t>
      </w:r>
      <w:r>
        <w:rPr/>
        <w:t>full</w:t>
      </w:r>
      <w:r>
        <w:rPr>
          <w:spacing w:val="-8"/>
        </w:rPr>
        <w:t> </w:t>
      </w:r>
      <w:r>
        <w:rPr/>
        <w:t>cost</w:t>
      </w:r>
      <w:r>
        <w:rPr>
          <w:spacing w:val="-8"/>
        </w:rPr>
        <w:t> </w:t>
      </w:r>
      <w:r>
        <w:rPr/>
        <w:t>(estimates</w:t>
      </w:r>
    </w:p>
    <w:p>
      <w:pPr>
        <w:pStyle w:val="BodyText"/>
        <w:spacing w:line="283" w:lineRule="auto" w:before="4"/>
        <w:ind w:left="1984" w:right="26"/>
      </w:pPr>
      <w:r>
        <w:rPr/>
        <w:t>were between 30-50% of the total removal cost), many felt that such an offset would be insufficient to adequately assist with the costs of removal as council rates are generally quite low. For some,</w:t>
      </w:r>
    </w:p>
    <w:p>
      <w:pPr>
        <w:pStyle w:val="BodyText"/>
        <w:spacing w:line="283" w:lineRule="auto" w:before="97"/>
        <w:ind w:left="720" w:right="1659"/>
      </w:pPr>
      <w:r>
        <w:rPr/>
        <w:br w:type="column"/>
      </w:r>
      <w:r>
        <w:rPr/>
        <w:t>a full rebate would remain insufficient, given the additional costs that would still be unaccounted for (e.g. temporary relocation, unforeseen expenses, replacement costs) and the low priority given to asbestos removal (due to the belief it is ‘safe unless disturbed’). Related suggestions included income- tested rebates and rebates on the basis of the age of a home.</w:t>
      </w:r>
    </w:p>
    <w:p>
      <w:pPr>
        <w:pStyle w:val="BodyText"/>
        <w:spacing w:line="283" w:lineRule="auto" w:before="136"/>
        <w:ind w:left="720" w:right="1683" w:hanging="284"/>
      </w:pPr>
      <w:r>
        <w:rPr>
          <w:position w:val="-3"/>
        </w:rPr>
        <w:drawing>
          <wp:inline distT="0" distB="0" distL="0" distR="0">
            <wp:extent cx="71843" cy="111455"/>
            <wp:effectExtent l="0" t="0" r="0" b="0"/>
            <wp:docPr id="71" name="image11.png" descr=""/>
            <wp:cNvGraphicFramePr>
              <a:graphicFrameLocks noChangeAspect="1"/>
            </wp:cNvGraphicFramePr>
            <a:graphic>
              <a:graphicData uri="http://schemas.openxmlformats.org/drawingml/2006/picture">
                <pic:pic>
                  <pic:nvPicPr>
                    <pic:cNvPr id="72" name="image11.png"/>
                    <pic:cNvPicPr/>
                  </pic:nvPicPr>
                  <pic:blipFill>
                    <a:blip r:embed="rId15" cstate="print"/>
                    <a:stretch>
                      <a:fillRect/>
                    </a:stretch>
                  </pic:blipFill>
                  <pic:spPr>
                    <a:xfrm>
                      <a:off x="0" y="0"/>
                      <a:ext cx="71843" cy="111455"/>
                    </a:xfrm>
                    <a:prstGeom prst="rect">
                      <a:avLst/>
                    </a:prstGeom>
                  </pic:spPr>
                </pic:pic>
              </a:graphicData>
            </a:graphic>
          </wp:inline>
        </w:drawing>
      </w:r>
      <w:r>
        <w:rPr>
          <w:position w:val="-3"/>
        </w:rPr>
      </w:r>
      <w:r>
        <w:rPr>
          <w:rFonts w:ascii="Times New Roman" w:hAnsi="Times New Roman"/>
          <w:sz w:val="20"/>
        </w:rPr>
        <w:t>  </w:t>
      </w:r>
      <w:r>
        <w:rPr>
          <w:rFonts w:ascii="Times New Roman" w:hAnsi="Times New Roman"/>
          <w:spacing w:val="20"/>
          <w:sz w:val="20"/>
        </w:rPr>
        <w:t> </w:t>
      </w:r>
      <w:r>
        <w:rPr/>
        <w:t>Reduced fee at tip: This option was generally popular</w:t>
      </w:r>
      <w:r>
        <w:rPr>
          <w:spacing w:val="-7"/>
        </w:rPr>
        <w:t> </w:t>
      </w:r>
      <w:r>
        <w:rPr/>
        <w:t>among</w:t>
      </w:r>
      <w:r>
        <w:rPr>
          <w:spacing w:val="-7"/>
        </w:rPr>
        <w:t> </w:t>
      </w:r>
      <w:r>
        <w:rPr/>
        <w:t>homeowners,</w:t>
      </w:r>
      <w:r>
        <w:rPr>
          <w:spacing w:val="-7"/>
        </w:rPr>
        <w:t> </w:t>
      </w:r>
      <w:r>
        <w:rPr/>
        <w:t>given</w:t>
      </w:r>
      <w:r>
        <w:rPr>
          <w:spacing w:val="-7"/>
        </w:rPr>
        <w:t> </w:t>
      </w:r>
      <w:r>
        <w:rPr/>
        <w:t>it</w:t>
      </w:r>
      <w:r>
        <w:rPr>
          <w:spacing w:val="-7"/>
        </w:rPr>
        <w:t> </w:t>
      </w:r>
      <w:r>
        <w:rPr/>
        <w:t>offered</w:t>
      </w:r>
      <w:r>
        <w:rPr>
          <w:spacing w:val="-7"/>
        </w:rPr>
        <w:t> </w:t>
      </w:r>
      <w:r>
        <w:rPr/>
        <w:t>some level</w:t>
      </w:r>
      <w:r>
        <w:rPr>
          <w:spacing w:val="-8"/>
        </w:rPr>
        <w:t> </w:t>
      </w:r>
      <w:r>
        <w:rPr/>
        <w:t>of</w:t>
      </w:r>
      <w:r>
        <w:rPr>
          <w:spacing w:val="-8"/>
        </w:rPr>
        <w:t> </w:t>
      </w:r>
      <w:r>
        <w:rPr/>
        <w:t>reduction</w:t>
      </w:r>
      <w:r>
        <w:rPr>
          <w:spacing w:val="-8"/>
        </w:rPr>
        <w:t> </w:t>
      </w:r>
      <w:r>
        <w:rPr/>
        <w:t>in</w:t>
      </w:r>
      <w:r>
        <w:rPr>
          <w:spacing w:val="-8"/>
        </w:rPr>
        <w:t> </w:t>
      </w:r>
      <w:r>
        <w:rPr/>
        <w:t>cost;</w:t>
      </w:r>
      <w:r>
        <w:rPr>
          <w:spacing w:val="-8"/>
        </w:rPr>
        <w:t> </w:t>
      </w:r>
      <w:r>
        <w:rPr/>
        <w:t>some</w:t>
      </w:r>
      <w:r>
        <w:rPr>
          <w:spacing w:val="-8"/>
        </w:rPr>
        <w:t> </w:t>
      </w:r>
      <w:r>
        <w:rPr/>
        <w:t>of</w:t>
      </w:r>
      <w:r>
        <w:rPr>
          <w:spacing w:val="-8"/>
        </w:rPr>
        <w:t> </w:t>
      </w:r>
      <w:r>
        <w:rPr/>
        <w:t>those</w:t>
      </w:r>
      <w:r>
        <w:rPr>
          <w:spacing w:val="-8"/>
        </w:rPr>
        <w:t> </w:t>
      </w:r>
      <w:r>
        <w:rPr/>
        <w:t>who</w:t>
      </w:r>
      <w:r>
        <w:rPr>
          <w:spacing w:val="-8"/>
        </w:rPr>
        <w:t> </w:t>
      </w:r>
      <w:r>
        <w:rPr/>
        <w:t>would consider removing asbestos themselves felt this would sufficiently encourage them to remove the asbestos. The majority (both those who would and wouldn’t</w:t>
      </w:r>
      <w:r>
        <w:rPr>
          <w:spacing w:val="-15"/>
        </w:rPr>
        <w:t> </w:t>
      </w:r>
      <w:r>
        <w:rPr/>
        <w:t>conduct</w:t>
      </w:r>
      <w:r>
        <w:rPr>
          <w:spacing w:val="-15"/>
        </w:rPr>
        <w:t> </w:t>
      </w:r>
      <w:r>
        <w:rPr/>
        <w:t>removal</w:t>
      </w:r>
      <w:r>
        <w:rPr>
          <w:spacing w:val="-15"/>
        </w:rPr>
        <w:t> </w:t>
      </w:r>
      <w:r>
        <w:rPr/>
        <w:t>themselves)</w:t>
      </w:r>
      <w:r>
        <w:rPr>
          <w:spacing w:val="-15"/>
        </w:rPr>
        <w:t> </w:t>
      </w:r>
      <w:r>
        <w:rPr/>
        <w:t>also</w:t>
      </w:r>
      <w:r>
        <w:rPr>
          <w:spacing w:val="-15"/>
        </w:rPr>
        <w:t> </w:t>
      </w:r>
      <w:r>
        <w:rPr/>
        <w:t>felt</w:t>
      </w:r>
      <w:r>
        <w:rPr>
          <w:spacing w:val="-15"/>
        </w:rPr>
        <w:t> </w:t>
      </w:r>
      <w:r>
        <w:rPr/>
        <w:t>this option would be positive in the sense that it could reduce rates of illegal dumping, although most also felt</w:t>
      </w:r>
      <w:r>
        <w:rPr>
          <w:spacing w:val="-9"/>
        </w:rPr>
        <w:t> </w:t>
      </w:r>
      <w:r>
        <w:rPr/>
        <w:t>that</w:t>
      </w:r>
      <w:r>
        <w:rPr>
          <w:spacing w:val="-9"/>
        </w:rPr>
        <w:t> </w:t>
      </w:r>
      <w:r>
        <w:rPr/>
        <w:t>disposal</w:t>
      </w:r>
      <w:r>
        <w:rPr>
          <w:spacing w:val="-9"/>
        </w:rPr>
        <w:t> </w:t>
      </w:r>
      <w:r>
        <w:rPr/>
        <w:t>at</w:t>
      </w:r>
      <w:r>
        <w:rPr>
          <w:spacing w:val="-9"/>
        </w:rPr>
        <w:t> </w:t>
      </w:r>
      <w:r>
        <w:rPr/>
        <w:t>a</w:t>
      </w:r>
      <w:r>
        <w:rPr>
          <w:spacing w:val="-9"/>
        </w:rPr>
        <w:t> </w:t>
      </w:r>
      <w:r>
        <w:rPr/>
        <w:t>tip</w:t>
      </w:r>
      <w:r>
        <w:rPr>
          <w:spacing w:val="-9"/>
        </w:rPr>
        <w:t> </w:t>
      </w:r>
      <w:r>
        <w:rPr/>
        <w:t>should</w:t>
      </w:r>
      <w:r>
        <w:rPr>
          <w:spacing w:val="-9"/>
        </w:rPr>
        <w:t> </w:t>
      </w:r>
      <w:r>
        <w:rPr/>
        <w:t>be</w:t>
      </w:r>
      <w:r>
        <w:rPr>
          <w:spacing w:val="-9"/>
        </w:rPr>
        <w:t> </w:t>
      </w:r>
      <w:r>
        <w:rPr/>
        <w:t>free</w:t>
      </w:r>
      <w:r>
        <w:rPr>
          <w:spacing w:val="-9"/>
        </w:rPr>
        <w:t> </w:t>
      </w:r>
      <w:r>
        <w:rPr/>
        <w:t>of</w:t>
      </w:r>
      <w:r>
        <w:rPr>
          <w:spacing w:val="-9"/>
        </w:rPr>
        <w:t> </w:t>
      </w:r>
      <w:r>
        <w:rPr/>
        <w:t>charge.</w:t>
      </w:r>
    </w:p>
    <w:p>
      <w:pPr>
        <w:pStyle w:val="BodyText"/>
        <w:spacing w:line="283" w:lineRule="auto" w:before="7"/>
        <w:ind w:left="720" w:right="1710"/>
      </w:pPr>
      <w:r>
        <w:rPr/>
        <w:t>Some voiced concerns over the encouragement of self-removal which could be performed unsafely. Concerns were also raised as to whether such a saving would be passed onto homeowners where a</w:t>
      </w:r>
      <w:r>
        <w:rPr>
          <w:spacing w:val="-11"/>
        </w:rPr>
        <w:t> </w:t>
      </w:r>
      <w:r>
        <w:rPr/>
        <w:t>professional</w:t>
      </w:r>
      <w:r>
        <w:rPr>
          <w:spacing w:val="-11"/>
        </w:rPr>
        <w:t> </w:t>
      </w:r>
      <w:r>
        <w:rPr/>
        <w:t>was</w:t>
      </w:r>
      <w:r>
        <w:rPr>
          <w:spacing w:val="-11"/>
        </w:rPr>
        <w:t> </w:t>
      </w:r>
      <w:r>
        <w:rPr/>
        <w:t>used,</w:t>
      </w:r>
      <w:r>
        <w:rPr>
          <w:spacing w:val="-11"/>
        </w:rPr>
        <w:t> </w:t>
      </w:r>
      <w:r>
        <w:rPr/>
        <w:t>and</w:t>
      </w:r>
      <w:r>
        <w:rPr>
          <w:spacing w:val="-11"/>
        </w:rPr>
        <w:t> </w:t>
      </w:r>
      <w:r>
        <w:rPr/>
        <w:t>if</w:t>
      </w:r>
      <w:r>
        <w:rPr>
          <w:spacing w:val="-11"/>
        </w:rPr>
        <w:t> </w:t>
      </w:r>
      <w:r>
        <w:rPr/>
        <w:t>so,</w:t>
      </w:r>
      <w:r>
        <w:rPr>
          <w:spacing w:val="-11"/>
        </w:rPr>
        <w:t> </w:t>
      </w:r>
      <w:r>
        <w:rPr/>
        <w:t>how</w:t>
      </w:r>
      <w:r>
        <w:rPr>
          <w:spacing w:val="-11"/>
        </w:rPr>
        <w:t> </w:t>
      </w:r>
      <w:r>
        <w:rPr/>
        <w:t>could</w:t>
      </w:r>
      <w:r>
        <w:rPr>
          <w:spacing w:val="-11"/>
        </w:rPr>
        <w:t> </w:t>
      </w:r>
      <w:r>
        <w:rPr/>
        <w:t>this</w:t>
      </w:r>
      <w:r>
        <w:rPr>
          <w:spacing w:val="-11"/>
        </w:rPr>
        <w:t> </w:t>
      </w:r>
      <w:r>
        <w:rPr/>
        <w:t>be guaranteed.</w:t>
      </w:r>
    </w:p>
    <w:p>
      <w:pPr>
        <w:pStyle w:val="BodyText"/>
        <w:spacing w:line="283" w:lineRule="auto" w:before="135"/>
        <w:ind w:left="720" w:right="1659" w:hanging="284"/>
      </w:pPr>
      <w:r>
        <w:rPr>
          <w:position w:val="-3"/>
        </w:rPr>
        <w:drawing>
          <wp:inline distT="0" distB="0" distL="0" distR="0">
            <wp:extent cx="71843" cy="111455"/>
            <wp:effectExtent l="0" t="0" r="0" b="0"/>
            <wp:docPr id="73" name="image11.png" descr=""/>
            <wp:cNvGraphicFramePr>
              <a:graphicFrameLocks noChangeAspect="1"/>
            </wp:cNvGraphicFramePr>
            <a:graphic>
              <a:graphicData uri="http://schemas.openxmlformats.org/drawingml/2006/picture">
                <pic:pic>
                  <pic:nvPicPr>
                    <pic:cNvPr id="74" name="image11.png"/>
                    <pic:cNvPicPr/>
                  </pic:nvPicPr>
                  <pic:blipFill>
                    <a:blip r:embed="rId15" cstate="print"/>
                    <a:stretch>
                      <a:fillRect/>
                    </a:stretch>
                  </pic:blipFill>
                  <pic:spPr>
                    <a:xfrm>
                      <a:off x="0" y="0"/>
                      <a:ext cx="71843" cy="111455"/>
                    </a:xfrm>
                    <a:prstGeom prst="rect">
                      <a:avLst/>
                    </a:prstGeom>
                  </pic:spPr>
                </pic:pic>
              </a:graphicData>
            </a:graphic>
          </wp:inline>
        </w:drawing>
      </w:r>
      <w:r>
        <w:rPr>
          <w:position w:val="-3"/>
        </w:rPr>
      </w:r>
      <w:r>
        <w:rPr>
          <w:rFonts w:ascii="Times New Roman"/>
          <w:sz w:val="20"/>
        </w:rPr>
        <w:t>  </w:t>
      </w:r>
      <w:r>
        <w:rPr>
          <w:rFonts w:ascii="Times New Roman"/>
          <w:spacing w:val="20"/>
          <w:sz w:val="20"/>
        </w:rPr>
        <w:t> </w:t>
      </w:r>
      <w:r>
        <w:rPr/>
        <w:t>Income contingent loan: There was apathy among homeowners</w:t>
      </w:r>
      <w:r>
        <w:rPr>
          <w:spacing w:val="-16"/>
        </w:rPr>
        <w:t> </w:t>
      </w:r>
      <w:r>
        <w:rPr/>
        <w:t>in</w:t>
      </w:r>
      <w:r>
        <w:rPr>
          <w:spacing w:val="-16"/>
        </w:rPr>
        <w:t> </w:t>
      </w:r>
      <w:r>
        <w:rPr/>
        <w:t>relation</w:t>
      </w:r>
      <w:r>
        <w:rPr>
          <w:spacing w:val="-16"/>
        </w:rPr>
        <w:t> </w:t>
      </w:r>
      <w:r>
        <w:rPr/>
        <w:t>to</w:t>
      </w:r>
      <w:r>
        <w:rPr>
          <w:spacing w:val="-16"/>
        </w:rPr>
        <w:t> </w:t>
      </w:r>
      <w:r>
        <w:rPr/>
        <w:t>this</w:t>
      </w:r>
      <w:r>
        <w:rPr>
          <w:spacing w:val="-16"/>
        </w:rPr>
        <w:t> </w:t>
      </w:r>
      <w:r>
        <w:rPr/>
        <w:t>initiative,</w:t>
      </w:r>
      <w:r>
        <w:rPr>
          <w:spacing w:val="-16"/>
        </w:rPr>
        <w:t> </w:t>
      </w:r>
      <w:r>
        <w:rPr/>
        <w:t>especially among those who did not prioritise asbestos removal.</w:t>
      </w:r>
      <w:r>
        <w:rPr>
          <w:spacing w:val="-8"/>
        </w:rPr>
        <w:t> </w:t>
      </w:r>
      <w:r>
        <w:rPr/>
        <w:t>However,</w:t>
      </w:r>
      <w:r>
        <w:rPr>
          <w:spacing w:val="-8"/>
        </w:rPr>
        <w:t> </w:t>
      </w:r>
      <w:r>
        <w:rPr/>
        <w:t>some</w:t>
      </w:r>
      <w:r>
        <w:rPr>
          <w:spacing w:val="-8"/>
        </w:rPr>
        <w:t> </w:t>
      </w:r>
      <w:r>
        <w:rPr/>
        <w:t>felt</w:t>
      </w:r>
      <w:r>
        <w:rPr>
          <w:spacing w:val="-8"/>
        </w:rPr>
        <w:t> </w:t>
      </w:r>
      <w:r>
        <w:rPr/>
        <w:t>that</w:t>
      </w:r>
      <w:r>
        <w:rPr>
          <w:spacing w:val="-8"/>
        </w:rPr>
        <w:t> </w:t>
      </w:r>
      <w:r>
        <w:rPr/>
        <w:t>this</w:t>
      </w:r>
      <w:r>
        <w:rPr>
          <w:spacing w:val="-8"/>
        </w:rPr>
        <w:t> </w:t>
      </w:r>
      <w:r>
        <w:rPr/>
        <w:t>could</w:t>
      </w:r>
      <w:r>
        <w:rPr>
          <w:spacing w:val="-8"/>
        </w:rPr>
        <w:t> </w:t>
      </w:r>
      <w:r>
        <w:rPr/>
        <w:t>be</w:t>
      </w:r>
    </w:p>
    <w:p>
      <w:pPr>
        <w:pStyle w:val="BodyText"/>
        <w:spacing w:line="283" w:lineRule="auto" w:before="2"/>
        <w:ind w:left="720" w:right="1659"/>
      </w:pPr>
      <w:r>
        <w:rPr/>
        <w:t>a</w:t>
      </w:r>
      <w:r>
        <w:rPr>
          <w:spacing w:val="-16"/>
        </w:rPr>
        <w:t> </w:t>
      </w:r>
      <w:r>
        <w:rPr/>
        <w:t>desirable</w:t>
      </w:r>
      <w:r>
        <w:rPr>
          <w:spacing w:val="-16"/>
        </w:rPr>
        <w:t> </w:t>
      </w:r>
      <w:r>
        <w:rPr/>
        <w:t>option</w:t>
      </w:r>
      <w:r>
        <w:rPr>
          <w:spacing w:val="-16"/>
        </w:rPr>
        <w:t> </w:t>
      </w:r>
      <w:r>
        <w:rPr/>
        <w:t>for</w:t>
      </w:r>
      <w:r>
        <w:rPr>
          <w:spacing w:val="-16"/>
        </w:rPr>
        <w:t> </w:t>
      </w:r>
      <w:r>
        <w:rPr/>
        <w:t>Australians</w:t>
      </w:r>
      <w:r>
        <w:rPr>
          <w:spacing w:val="-16"/>
        </w:rPr>
        <w:t> </w:t>
      </w:r>
      <w:r>
        <w:rPr/>
        <w:t>in</w:t>
      </w:r>
      <w:r>
        <w:rPr>
          <w:spacing w:val="-16"/>
        </w:rPr>
        <w:t> </w:t>
      </w:r>
      <w:r>
        <w:rPr/>
        <w:t>lower</w:t>
      </w:r>
      <w:r>
        <w:rPr>
          <w:spacing w:val="-16"/>
        </w:rPr>
        <w:t> </w:t>
      </w:r>
      <w:r>
        <w:rPr/>
        <w:t>socio- economic</w:t>
      </w:r>
      <w:r>
        <w:rPr>
          <w:spacing w:val="-3"/>
        </w:rPr>
        <w:t> </w:t>
      </w:r>
      <w:r>
        <w:rPr/>
        <w:t>strata.</w:t>
      </w:r>
    </w:p>
    <w:p>
      <w:pPr>
        <w:pStyle w:val="BodyText"/>
        <w:spacing w:line="283" w:lineRule="auto" w:before="132"/>
        <w:ind w:left="720" w:right="1702" w:hanging="284"/>
      </w:pPr>
      <w:r>
        <w:rPr>
          <w:position w:val="-3"/>
        </w:rPr>
        <w:drawing>
          <wp:inline distT="0" distB="0" distL="0" distR="0">
            <wp:extent cx="71843" cy="111455"/>
            <wp:effectExtent l="0" t="0" r="0" b="0"/>
            <wp:docPr id="75" name="image12.png" descr=""/>
            <wp:cNvGraphicFramePr>
              <a:graphicFrameLocks noChangeAspect="1"/>
            </wp:cNvGraphicFramePr>
            <a:graphic>
              <a:graphicData uri="http://schemas.openxmlformats.org/drawingml/2006/picture">
                <pic:pic>
                  <pic:nvPicPr>
                    <pic:cNvPr id="76" name="image12.png"/>
                    <pic:cNvPicPr/>
                  </pic:nvPicPr>
                  <pic:blipFill>
                    <a:blip r:embed="rId16" cstate="print"/>
                    <a:stretch>
                      <a:fillRect/>
                    </a:stretch>
                  </pic:blipFill>
                  <pic:spPr>
                    <a:xfrm>
                      <a:off x="0" y="0"/>
                      <a:ext cx="71843" cy="111455"/>
                    </a:xfrm>
                    <a:prstGeom prst="rect">
                      <a:avLst/>
                    </a:prstGeom>
                  </pic:spPr>
                </pic:pic>
              </a:graphicData>
            </a:graphic>
          </wp:inline>
        </w:drawing>
      </w:r>
      <w:r>
        <w:rPr>
          <w:position w:val="-3"/>
        </w:rPr>
      </w:r>
      <w:r>
        <w:rPr>
          <w:rFonts w:ascii="Times New Roman"/>
          <w:sz w:val="20"/>
        </w:rPr>
        <w:t>  </w:t>
      </w:r>
      <w:r>
        <w:rPr>
          <w:rFonts w:ascii="Times New Roman"/>
          <w:spacing w:val="20"/>
          <w:sz w:val="20"/>
        </w:rPr>
        <w:t> </w:t>
      </w:r>
      <w:r>
        <w:rPr/>
        <w:t>Collection service for small volumes of asbestos: The idea of a collection service was generally well received, particularly by those who would consider DIY removal (noting that this is a minority of homeowners).</w:t>
      </w:r>
      <w:r>
        <w:rPr>
          <w:spacing w:val="-13"/>
        </w:rPr>
        <w:t> </w:t>
      </w:r>
      <w:r>
        <w:rPr/>
        <w:t>Those</w:t>
      </w:r>
      <w:r>
        <w:rPr>
          <w:spacing w:val="-13"/>
        </w:rPr>
        <w:t> </w:t>
      </w:r>
      <w:r>
        <w:rPr/>
        <w:t>who</w:t>
      </w:r>
      <w:r>
        <w:rPr>
          <w:spacing w:val="-13"/>
        </w:rPr>
        <w:t> </w:t>
      </w:r>
      <w:r>
        <w:rPr/>
        <w:t>would</w:t>
      </w:r>
      <w:r>
        <w:rPr>
          <w:spacing w:val="-13"/>
        </w:rPr>
        <w:t> </w:t>
      </w:r>
      <w:r>
        <w:rPr/>
        <w:t>use</w:t>
      </w:r>
      <w:r>
        <w:rPr>
          <w:spacing w:val="-13"/>
        </w:rPr>
        <w:t> </w:t>
      </w:r>
      <w:r>
        <w:rPr/>
        <w:t>a</w:t>
      </w:r>
      <w:r>
        <w:rPr>
          <w:spacing w:val="-13"/>
        </w:rPr>
        <w:t> </w:t>
      </w:r>
      <w:r>
        <w:rPr/>
        <w:t>professional did</w:t>
      </w:r>
      <w:r>
        <w:rPr>
          <w:spacing w:val="-8"/>
        </w:rPr>
        <w:t> </w:t>
      </w:r>
      <w:r>
        <w:rPr/>
        <w:t>not</w:t>
      </w:r>
      <w:r>
        <w:rPr>
          <w:spacing w:val="-8"/>
        </w:rPr>
        <w:t> </w:t>
      </w:r>
      <w:r>
        <w:rPr/>
        <w:t>feel</w:t>
      </w:r>
      <w:r>
        <w:rPr>
          <w:spacing w:val="-8"/>
        </w:rPr>
        <w:t> </w:t>
      </w:r>
      <w:r>
        <w:rPr/>
        <w:t>this</w:t>
      </w:r>
      <w:r>
        <w:rPr>
          <w:spacing w:val="-8"/>
        </w:rPr>
        <w:t> </w:t>
      </w:r>
      <w:r>
        <w:rPr/>
        <w:t>option</w:t>
      </w:r>
      <w:r>
        <w:rPr>
          <w:spacing w:val="-8"/>
        </w:rPr>
        <w:t> </w:t>
      </w:r>
      <w:r>
        <w:rPr/>
        <w:t>would</w:t>
      </w:r>
      <w:r>
        <w:rPr>
          <w:spacing w:val="-8"/>
        </w:rPr>
        <w:t> </w:t>
      </w:r>
      <w:r>
        <w:rPr/>
        <w:t>be</w:t>
      </w:r>
      <w:r>
        <w:rPr>
          <w:spacing w:val="-8"/>
        </w:rPr>
        <w:t> </w:t>
      </w:r>
      <w:r>
        <w:rPr/>
        <w:t>as</w:t>
      </w:r>
      <w:r>
        <w:rPr>
          <w:spacing w:val="-8"/>
        </w:rPr>
        <w:t> </w:t>
      </w:r>
      <w:r>
        <w:rPr/>
        <w:t>helpful,</w:t>
      </w:r>
      <w:r>
        <w:rPr>
          <w:spacing w:val="-8"/>
        </w:rPr>
        <w:t> </w:t>
      </w:r>
      <w:r>
        <w:rPr/>
        <w:t>as</w:t>
      </w:r>
      <w:r>
        <w:rPr>
          <w:spacing w:val="-8"/>
        </w:rPr>
        <w:t> </w:t>
      </w:r>
      <w:r>
        <w:rPr/>
        <w:t>they would</w:t>
      </w:r>
      <w:r>
        <w:rPr>
          <w:spacing w:val="-11"/>
        </w:rPr>
        <w:t> </w:t>
      </w:r>
      <w:r>
        <w:rPr/>
        <w:t>need</w:t>
      </w:r>
      <w:r>
        <w:rPr>
          <w:spacing w:val="-11"/>
        </w:rPr>
        <w:t> </w:t>
      </w:r>
      <w:r>
        <w:rPr/>
        <w:t>to</w:t>
      </w:r>
      <w:r>
        <w:rPr>
          <w:spacing w:val="-11"/>
        </w:rPr>
        <w:t> </w:t>
      </w:r>
      <w:r>
        <w:rPr/>
        <w:t>have</w:t>
      </w:r>
      <w:r>
        <w:rPr>
          <w:spacing w:val="-11"/>
        </w:rPr>
        <w:t> </w:t>
      </w:r>
      <w:r>
        <w:rPr/>
        <w:t>the</w:t>
      </w:r>
      <w:r>
        <w:rPr>
          <w:spacing w:val="-11"/>
        </w:rPr>
        <w:t> </w:t>
      </w:r>
      <w:r>
        <w:rPr/>
        <w:t>asbestos</w:t>
      </w:r>
      <w:r>
        <w:rPr>
          <w:spacing w:val="-11"/>
        </w:rPr>
        <w:t> </w:t>
      </w:r>
      <w:r>
        <w:rPr/>
        <w:t>removed</w:t>
      </w:r>
      <w:r>
        <w:rPr>
          <w:spacing w:val="-11"/>
        </w:rPr>
        <w:t> </w:t>
      </w:r>
      <w:r>
        <w:rPr/>
        <w:t>anyway. The</w:t>
      </w:r>
      <w:r>
        <w:rPr>
          <w:spacing w:val="-18"/>
        </w:rPr>
        <w:t> </w:t>
      </w:r>
      <w:r>
        <w:rPr/>
        <w:t>main</w:t>
      </w:r>
      <w:r>
        <w:rPr>
          <w:spacing w:val="-18"/>
        </w:rPr>
        <w:t> </w:t>
      </w:r>
      <w:r>
        <w:rPr/>
        <w:t>issues</w:t>
      </w:r>
      <w:r>
        <w:rPr>
          <w:spacing w:val="-18"/>
        </w:rPr>
        <w:t> </w:t>
      </w:r>
      <w:r>
        <w:rPr/>
        <w:t>in</w:t>
      </w:r>
      <w:r>
        <w:rPr>
          <w:spacing w:val="-18"/>
        </w:rPr>
        <w:t> </w:t>
      </w:r>
      <w:r>
        <w:rPr/>
        <w:t>relation</w:t>
      </w:r>
      <w:r>
        <w:rPr>
          <w:spacing w:val="-18"/>
        </w:rPr>
        <w:t> </w:t>
      </w:r>
      <w:r>
        <w:rPr/>
        <w:t>to</w:t>
      </w:r>
      <w:r>
        <w:rPr>
          <w:spacing w:val="-18"/>
        </w:rPr>
        <w:t> </w:t>
      </w:r>
      <w:r>
        <w:rPr/>
        <w:t>this</w:t>
      </w:r>
      <w:r>
        <w:rPr>
          <w:spacing w:val="-18"/>
        </w:rPr>
        <w:t> </w:t>
      </w:r>
      <w:r>
        <w:rPr/>
        <w:t>initiative</w:t>
      </w:r>
      <w:r>
        <w:rPr>
          <w:spacing w:val="-18"/>
        </w:rPr>
        <w:t> </w:t>
      </w:r>
      <w:r>
        <w:rPr/>
        <w:t>were:</w:t>
      </w:r>
      <w:r>
        <w:rPr>
          <w:spacing w:val="-18"/>
        </w:rPr>
        <w:t> </w:t>
      </w:r>
      <w:r>
        <w:rPr/>
        <w:t>the location of the asbestos while it awaited removal and the relative safety of those nearby during this period.</w:t>
      </w:r>
    </w:p>
    <w:p>
      <w:pPr>
        <w:spacing w:after="0" w:line="283" w:lineRule="auto"/>
        <w:sectPr>
          <w:type w:val="continuous"/>
          <w:pgSz w:w="11910" w:h="16840"/>
          <w:pgMar w:top="1580" w:bottom="280" w:left="0" w:right="0"/>
          <w:cols w:num="2" w:equalWidth="0">
            <w:col w:w="5703" w:space="40"/>
            <w:col w:w="6167"/>
          </w:cols>
        </w:sectPr>
      </w:pPr>
    </w:p>
    <w:p>
      <w:pPr>
        <w:pStyle w:val="Heading2"/>
        <w:spacing w:before="83"/>
      </w:pPr>
      <w:r>
        <w:rPr>
          <w:w w:val="90"/>
        </w:rPr>
        <w:t>Participant suggestions</w:t>
      </w:r>
    </w:p>
    <w:p>
      <w:pPr>
        <w:pStyle w:val="BodyText"/>
        <w:spacing w:line="283" w:lineRule="auto" w:before="159"/>
        <w:ind w:left="1700" w:right="30"/>
      </w:pPr>
      <w:r>
        <w:rPr/>
        <w:t>Across multiple focus group discussions, two suggestions that emerged were in relation to the certification</w:t>
      </w:r>
      <w:r>
        <w:rPr>
          <w:spacing w:val="-17"/>
        </w:rPr>
        <w:t> </w:t>
      </w:r>
      <w:r>
        <w:rPr/>
        <w:t>for</w:t>
      </w:r>
      <w:r>
        <w:rPr>
          <w:spacing w:val="-17"/>
        </w:rPr>
        <w:t> </w:t>
      </w:r>
      <w:r>
        <w:rPr/>
        <w:t>the</w:t>
      </w:r>
      <w:r>
        <w:rPr>
          <w:spacing w:val="-17"/>
        </w:rPr>
        <w:t> </w:t>
      </w:r>
      <w:r>
        <w:rPr/>
        <w:t>sale</w:t>
      </w:r>
      <w:r>
        <w:rPr>
          <w:spacing w:val="-17"/>
        </w:rPr>
        <w:t> </w:t>
      </w:r>
      <w:r>
        <w:rPr/>
        <w:t>of</w:t>
      </w:r>
      <w:r>
        <w:rPr>
          <w:spacing w:val="-17"/>
        </w:rPr>
        <w:t> </w:t>
      </w:r>
      <w:r>
        <w:rPr/>
        <w:t>properties</w:t>
      </w:r>
      <w:r>
        <w:rPr>
          <w:spacing w:val="-17"/>
        </w:rPr>
        <w:t> </w:t>
      </w:r>
      <w:r>
        <w:rPr/>
        <w:t>and</w:t>
      </w:r>
      <w:r>
        <w:rPr>
          <w:spacing w:val="-17"/>
        </w:rPr>
        <w:t> </w:t>
      </w:r>
      <w:r>
        <w:rPr/>
        <w:t>free</w:t>
      </w:r>
      <w:r>
        <w:rPr>
          <w:spacing w:val="-17"/>
        </w:rPr>
        <w:t> </w:t>
      </w:r>
      <w:r>
        <w:rPr/>
        <w:t>asbestos inspections.</w:t>
      </w:r>
    </w:p>
    <w:p>
      <w:pPr>
        <w:pStyle w:val="BodyText"/>
        <w:spacing w:line="283" w:lineRule="auto" w:before="133"/>
        <w:ind w:left="1984" w:hanging="284"/>
      </w:pPr>
      <w:r>
        <w:rPr>
          <w:position w:val="-3"/>
        </w:rPr>
        <w:drawing>
          <wp:inline distT="0" distB="0" distL="0" distR="0">
            <wp:extent cx="71843" cy="111455"/>
            <wp:effectExtent l="0" t="0" r="0" b="0"/>
            <wp:docPr id="77" name="image11.png" descr=""/>
            <wp:cNvGraphicFramePr>
              <a:graphicFrameLocks noChangeAspect="1"/>
            </wp:cNvGraphicFramePr>
            <a:graphic>
              <a:graphicData uri="http://schemas.openxmlformats.org/drawingml/2006/picture">
                <pic:pic>
                  <pic:nvPicPr>
                    <pic:cNvPr id="78" name="image11.png"/>
                    <pic:cNvPicPr/>
                  </pic:nvPicPr>
                  <pic:blipFill>
                    <a:blip r:embed="rId15" cstate="print"/>
                    <a:stretch>
                      <a:fillRect/>
                    </a:stretch>
                  </pic:blipFill>
                  <pic:spPr>
                    <a:xfrm>
                      <a:off x="0" y="0"/>
                      <a:ext cx="71843" cy="111455"/>
                    </a:xfrm>
                    <a:prstGeom prst="rect">
                      <a:avLst/>
                    </a:prstGeom>
                  </pic:spPr>
                </pic:pic>
              </a:graphicData>
            </a:graphic>
          </wp:inline>
        </w:drawing>
      </w:r>
      <w:r>
        <w:rPr>
          <w:position w:val="-3"/>
        </w:rPr>
      </w:r>
      <w:r>
        <w:rPr>
          <w:rFonts w:ascii="Times New Roman"/>
          <w:sz w:val="20"/>
        </w:rPr>
        <w:t>  </w:t>
      </w:r>
      <w:r>
        <w:rPr>
          <w:rFonts w:ascii="Times New Roman"/>
          <w:spacing w:val="20"/>
          <w:sz w:val="20"/>
        </w:rPr>
        <w:t> </w:t>
      </w:r>
      <w:r>
        <w:rPr/>
        <w:t>Homeowners</w:t>
      </w:r>
      <w:r>
        <w:rPr>
          <w:spacing w:val="-10"/>
        </w:rPr>
        <w:t> </w:t>
      </w:r>
      <w:r>
        <w:rPr/>
        <w:t>indicated</w:t>
      </w:r>
      <w:r>
        <w:rPr>
          <w:spacing w:val="-10"/>
        </w:rPr>
        <w:t> </w:t>
      </w:r>
      <w:r>
        <w:rPr/>
        <w:t>that</w:t>
      </w:r>
      <w:r>
        <w:rPr>
          <w:spacing w:val="-10"/>
        </w:rPr>
        <w:t> </w:t>
      </w:r>
      <w:r>
        <w:rPr/>
        <w:t>they</w:t>
      </w:r>
      <w:r>
        <w:rPr>
          <w:spacing w:val="-10"/>
        </w:rPr>
        <w:t> </w:t>
      </w:r>
      <w:r>
        <w:rPr/>
        <w:t>would</w:t>
      </w:r>
      <w:r>
        <w:rPr>
          <w:spacing w:val="-10"/>
        </w:rPr>
        <w:t> </w:t>
      </w:r>
      <w:r>
        <w:rPr/>
        <w:t>like</w:t>
      </w:r>
      <w:r>
        <w:rPr>
          <w:spacing w:val="-10"/>
        </w:rPr>
        <w:t> </w:t>
      </w:r>
      <w:r>
        <w:rPr/>
        <w:t>to</w:t>
      </w:r>
      <w:r>
        <w:rPr>
          <w:spacing w:val="-10"/>
        </w:rPr>
        <w:t> </w:t>
      </w:r>
      <w:r>
        <w:rPr/>
        <w:t>see some level of regulation around the disclosure of asbestos</w:t>
      </w:r>
      <w:r>
        <w:rPr>
          <w:spacing w:val="-9"/>
        </w:rPr>
        <w:t> </w:t>
      </w:r>
      <w:r>
        <w:rPr/>
        <w:t>presence</w:t>
      </w:r>
      <w:r>
        <w:rPr>
          <w:spacing w:val="-9"/>
        </w:rPr>
        <w:t> </w:t>
      </w:r>
      <w:r>
        <w:rPr/>
        <w:t>in</w:t>
      </w:r>
      <w:r>
        <w:rPr>
          <w:spacing w:val="-9"/>
        </w:rPr>
        <w:t> </w:t>
      </w:r>
      <w:r>
        <w:rPr/>
        <w:t>homes</w:t>
      </w:r>
      <w:r>
        <w:rPr>
          <w:spacing w:val="-9"/>
        </w:rPr>
        <w:t> </w:t>
      </w:r>
      <w:r>
        <w:rPr/>
        <w:t>and</w:t>
      </w:r>
      <w:r>
        <w:rPr>
          <w:spacing w:val="-9"/>
        </w:rPr>
        <w:t> </w:t>
      </w:r>
      <w:r>
        <w:rPr/>
        <w:t>that</w:t>
      </w:r>
      <w:r>
        <w:rPr>
          <w:spacing w:val="-9"/>
        </w:rPr>
        <w:t> </w:t>
      </w:r>
      <w:r>
        <w:rPr/>
        <w:t>this</w:t>
      </w:r>
      <w:r>
        <w:rPr>
          <w:spacing w:val="-9"/>
        </w:rPr>
        <w:t> </w:t>
      </w:r>
      <w:r>
        <w:rPr/>
        <w:t>could</w:t>
      </w:r>
      <w:r>
        <w:rPr>
          <w:spacing w:val="-9"/>
        </w:rPr>
        <w:t> </w:t>
      </w:r>
      <w:r>
        <w:rPr/>
        <w:t>be in the form of a certification</w:t>
      </w:r>
      <w:r>
        <w:rPr>
          <w:spacing w:val="-28"/>
        </w:rPr>
        <w:t> </w:t>
      </w:r>
      <w:r>
        <w:rPr/>
        <w:t>process.</w:t>
      </w:r>
    </w:p>
    <w:p>
      <w:pPr>
        <w:pStyle w:val="BodyText"/>
        <w:spacing w:line="283" w:lineRule="auto" w:before="133"/>
        <w:ind w:left="1984" w:right="66" w:hanging="284"/>
      </w:pPr>
      <w:r>
        <w:rPr>
          <w:position w:val="-3"/>
        </w:rPr>
        <w:drawing>
          <wp:inline distT="0" distB="0" distL="0" distR="0">
            <wp:extent cx="71843" cy="111455"/>
            <wp:effectExtent l="0" t="0" r="0" b="0"/>
            <wp:docPr id="79" name="image11.png" descr=""/>
            <wp:cNvGraphicFramePr>
              <a:graphicFrameLocks noChangeAspect="1"/>
            </wp:cNvGraphicFramePr>
            <a:graphic>
              <a:graphicData uri="http://schemas.openxmlformats.org/drawingml/2006/picture">
                <pic:pic>
                  <pic:nvPicPr>
                    <pic:cNvPr id="80" name="image11.png"/>
                    <pic:cNvPicPr/>
                  </pic:nvPicPr>
                  <pic:blipFill>
                    <a:blip r:embed="rId15" cstate="print"/>
                    <a:stretch>
                      <a:fillRect/>
                    </a:stretch>
                  </pic:blipFill>
                  <pic:spPr>
                    <a:xfrm>
                      <a:off x="0" y="0"/>
                      <a:ext cx="71843" cy="111455"/>
                    </a:xfrm>
                    <a:prstGeom prst="rect">
                      <a:avLst/>
                    </a:prstGeom>
                  </pic:spPr>
                </pic:pic>
              </a:graphicData>
            </a:graphic>
          </wp:inline>
        </w:drawing>
      </w:r>
      <w:r>
        <w:rPr>
          <w:position w:val="-3"/>
        </w:rPr>
      </w:r>
      <w:r>
        <w:rPr>
          <w:rFonts w:ascii="Times New Roman"/>
          <w:sz w:val="20"/>
        </w:rPr>
        <w:t>  </w:t>
      </w:r>
      <w:r>
        <w:rPr>
          <w:rFonts w:ascii="Times New Roman"/>
          <w:spacing w:val="20"/>
          <w:sz w:val="20"/>
        </w:rPr>
        <w:t> </w:t>
      </w:r>
      <w:r>
        <w:rPr/>
        <w:t>Others spoke about their lack of understanding on asbestos and in their confidence regarding its identification. These participants were interested in ensuring their property was safe to inhabit and wanted simply to know what their next steps should</w:t>
      </w:r>
      <w:r>
        <w:rPr>
          <w:spacing w:val="-12"/>
        </w:rPr>
        <w:t> </w:t>
      </w:r>
      <w:r>
        <w:rPr/>
        <w:t>be,</w:t>
      </w:r>
      <w:r>
        <w:rPr>
          <w:spacing w:val="-12"/>
        </w:rPr>
        <w:t> </w:t>
      </w:r>
      <w:r>
        <w:rPr/>
        <w:t>however</w:t>
      </w:r>
      <w:r>
        <w:rPr>
          <w:spacing w:val="-12"/>
        </w:rPr>
        <w:t> </w:t>
      </w:r>
      <w:r>
        <w:rPr/>
        <w:t>they</w:t>
      </w:r>
      <w:r>
        <w:rPr>
          <w:spacing w:val="-12"/>
        </w:rPr>
        <w:t> </w:t>
      </w:r>
      <w:r>
        <w:rPr/>
        <w:t>felt</w:t>
      </w:r>
      <w:r>
        <w:rPr>
          <w:spacing w:val="-12"/>
        </w:rPr>
        <w:t> </w:t>
      </w:r>
      <w:r>
        <w:rPr/>
        <w:t>that</w:t>
      </w:r>
      <w:r>
        <w:rPr>
          <w:spacing w:val="-12"/>
        </w:rPr>
        <w:t> </w:t>
      </w:r>
      <w:r>
        <w:rPr/>
        <w:t>such</w:t>
      </w:r>
      <w:r>
        <w:rPr>
          <w:spacing w:val="-12"/>
        </w:rPr>
        <w:t> </w:t>
      </w:r>
      <w:r>
        <w:rPr/>
        <w:t>inspections should be free (as they felt the responsibility sat with the</w:t>
      </w:r>
      <w:r>
        <w:rPr>
          <w:spacing w:val="-6"/>
        </w:rPr>
        <w:t> </w:t>
      </w:r>
      <w:r>
        <w:rPr/>
        <w:t>government).</w:t>
      </w:r>
    </w:p>
    <w:p>
      <w:pPr>
        <w:pStyle w:val="Heading2"/>
        <w:spacing w:before="105"/>
      </w:pPr>
      <w:r>
        <w:rPr>
          <w:w w:val="90"/>
        </w:rPr>
        <w:t>Conjoint analysis</w:t>
      </w:r>
    </w:p>
    <w:p>
      <w:pPr>
        <w:pStyle w:val="BodyText"/>
        <w:spacing w:line="283" w:lineRule="auto" w:before="159"/>
        <w:ind w:left="1700" w:right="207"/>
      </w:pPr>
      <w:r>
        <w:rPr/>
        <w:t>As noted above, the conjoint analysis involved four alternative</w:t>
      </w:r>
      <w:r>
        <w:rPr>
          <w:spacing w:val="-23"/>
        </w:rPr>
        <w:t> </w:t>
      </w:r>
      <w:r>
        <w:rPr/>
        <w:t>government</w:t>
      </w:r>
      <w:r>
        <w:rPr>
          <w:spacing w:val="-23"/>
        </w:rPr>
        <w:t> </w:t>
      </w:r>
      <w:r>
        <w:rPr/>
        <w:t>initiatives</w:t>
      </w:r>
      <w:r>
        <w:rPr>
          <w:spacing w:val="-23"/>
        </w:rPr>
        <w:t> </w:t>
      </w:r>
      <w:r>
        <w:rPr/>
        <w:t>which</w:t>
      </w:r>
      <w:r>
        <w:rPr>
          <w:spacing w:val="-23"/>
        </w:rPr>
        <w:t> </w:t>
      </w:r>
      <w:r>
        <w:rPr/>
        <w:t>were</w:t>
      </w:r>
      <w:r>
        <w:rPr>
          <w:spacing w:val="-23"/>
        </w:rPr>
        <w:t> </w:t>
      </w:r>
      <w:r>
        <w:rPr/>
        <w:t>tested along with a base option where no government initiative was</w:t>
      </w:r>
      <w:r>
        <w:rPr>
          <w:spacing w:val="-7"/>
        </w:rPr>
        <w:t> </w:t>
      </w:r>
      <w:r>
        <w:rPr/>
        <w:t>offered:</w:t>
      </w:r>
    </w:p>
    <w:p>
      <w:pPr>
        <w:pStyle w:val="BodyText"/>
        <w:spacing w:before="133"/>
        <w:ind w:left="1700"/>
      </w:pPr>
      <w:r>
        <w:rPr>
          <w:position w:val="-3"/>
        </w:rPr>
        <w:drawing>
          <wp:inline distT="0" distB="0" distL="0" distR="0">
            <wp:extent cx="71843" cy="111455"/>
            <wp:effectExtent l="0" t="0" r="0" b="0"/>
            <wp:docPr id="81" name="image12.png" descr=""/>
            <wp:cNvGraphicFramePr>
              <a:graphicFrameLocks noChangeAspect="1"/>
            </wp:cNvGraphicFramePr>
            <a:graphic>
              <a:graphicData uri="http://schemas.openxmlformats.org/drawingml/2006/picture">
                <pic:pic>
                  <pic:nvPicPr>
                    <pic:cNvPr id="82" name="image12.png"/>
                    <pic:cNvPicPr/>
                  </pic:nvPicPr>
                  <pic:blipFill>
                    <a:blip r:embed="rId16" cstate="print"/>
                    <a:stretch>
                      <a:fillRect/>
                    </a:stretch>
                  </pic:blipFill>
                  <pic:spPr>
                    <a:xfrm>
                      <a:off x="0" y="0"/>
                      <a:ext cx="71843" cy="111455"/>
                    </a:xfrm>
                    <a:prstGeom prst="rect">
                      <a:avLst/>
                    </a:prstGeom>
                  </pic:spPr>
                </pic:pic>
              </a:graphicData>
            </a:graphic>
          </wp:inline>
        </w:drawing>
      </w:r>
      <w:r>
        <w:rPr>
          <w:position w:val="-3"/>
        </w:rPr>
      </w:r>
      <w:r>
        <w:rPr>
          <w:rFonts w:ascii="Times New Roman"/>
          <w:sz w:val="20"/>
        </w:rPr>
        <w:t>  </w:t>
      </w:r>
      <w:r>
        <w:rPr>
          <w:rFonts w:ascii="Times New Roman"/>
          <w:spacing w:val="20"/>
          <w:sz w:val="20"/>
        </w:rPr>
        <w:t> </w:t>
      </w:r>
      <w:r>
        <w:rPr/>
        <w:t>No</w:t>
      </w:r>
      <w:r>
        <w:rPr>
          <w:spacing w:val="-1"/>
        </w:rPr>
        <w:t> </w:t>
      </w:r>
      <w:r>
        <w:rPr/>
        <w:t>Initiative.</w:t>
      </w:r>
    </w:p>
    <w:p>
      <w:pPr>
        <w:pStyle w:val="BodyText"/>
        <w:spacing w:line="283" w:lineRule="auto" w:before="170"/>
        <w:ind w:left="1984" w:right="438" w:hanging="284"/>
      </w:pPr>
      <w:r>
        <w:rPr>
          <w:position w:val="-3"/>
        </w:rPr>
        <w:drawing>
          <wp:inline distT="0" distB="0" distL="0" distR="0">
            <wp:extent cx="71843" cy="111455"/>
            <wp:effectExtent l="0" t="0" r="0" b="0"/>
            <wp:docPr id="83" name="image12.png" descr=""/>
            <wp:cNvGraphicFramePr>
              <a:graphicFrameLocks noChangeAspect="1"/>
            </wp:cNvGraphicFramePr>
            <a:graphic>
              <a:graphicData uri="http://schemas.openxmlformats.org/drawingml/2006/picture">
                <pic:pic>
                  <pic:nvPicPr>
                    <pic:cNvPr id="84" name="image12.png"/>
                    <pic:cNvPicPr/>
                  </pic:nvPicPr>
                  <pic:blipFill>
                    <a:blip r:embed="rId16" cstate="print"/>
                    <a:stretch>
                      <a:fillRect/>
                    </a:stretch>
                  </pic:blipFill>
                  <pic:spPr>
                    <a:xfrm>
                      <a:off x="0" y="0"/>
                      <a:ext cx="71843" cy="111455"/>
                    </a:xfrm>
                    <a:prstGeom prst="rect">
                      <a:avLst/>
                    </a:prstGeom>
                  </pic:spPr>
                </pic:pic>
              </a:graphicData>
            </a:graphic>
          </wp:inline>
        </w:drawing>
      </w:r>
      <w:r>
        <w:rPr>
          <w:position w:val="-3"/>
        </w:rPr>
      </w:r>
      <w:r>
        <w:rPr>
          <w:rFonts w:ascii="Times New Roman"/>
          <w:sz w:val="20"/>
        </w:rPr>
        <w:t>  </w:t>
      </w:r>
      <w:r>
        <w:rPr>
          <w:rFonts w:ascii="Times New Roman"/>
          <w:spacing w:val="20"/>
          <w:sz w:val="20"/>
        </w:rPr>
        <w:t> </w:t>
      </w:r>
      <w:r>
        <w:rPr/>
        <w:t>Subsidy: The government provides a subsidy paying 50% of the removal</w:t>
      </w:r>
      <w:r>
        <w:rPr>
          <w:spacing w:val="-18"/>
        </w:rPr>
        <w:t> </w:t>
      </w:r>
      <w:r>
        <w:rPr/>
        <w:t>fee.</w:t>
      </w:r>
    </w:p>
    <w:p>
      <w:pPr>
        <w:pStyle w:val="BodyText"/>
        <w:spacing w:line="283" w:lineRule="auto" w:before="131"/>
        <w:ind w:left="1984" w:hanging="284"/>
      </w:pPr>
      <w:r>
        <w:rPr>
          <w:position w:val="-3"/>
        </w:rPr>
        <w:drawing>
          <wp:inline distT="0" distB="0" distL="0" distR="0">
            <wp:extent cx="71843" cy="111455"/>
            <wp:effectExtent l="0" t="0" r="0" b="0"/>
            <wp:docPr id="85" name="image11.png" descr=""/>
            <wp:cNvGraphicFramePr>
              <a:graphicFrameLocks noChangeAspect="1"/>
            </wp:cNvGraphicFramePr>
            <a:graphic>
              <a:graphicData uri="http://schemas.openxmlformats.org/drawingml/2006/picture">
                <pic:pic>
                  <pic:nvPicPr>
                    <pic:cNvPr id="86" name="image11.png"/>
                    <pic:cNvPicPr/>
                  </pic:nvPicPr>
                  <pic:blipFill>
                    <a:blip r:embed="rId15" cstate="print"/>
                    <a:stretch>
                      <a:fillRect/>
                    </a:stretch>
                  </pic:blipFill>
                  <pic:spPr>
                    <a:xfrm>
                      <a:off x="0" y="0"/>
                      <a:ext cx="71843" cy="111455"/>
                    </a:xfrm>
                    <a:prstGeom prst="rect">
                      <a:avLst/>
                    </a:prstGeom>
                  </pic:spPr>
                </pic:pic>
              </a:graphicData>
            </a:graphic>
          </wp:inline>
        </w:drawing>
      </w:r>
      <w:r>
        <w:rPr>
          <w:position w:val="-3"/>
        </w:rPr>
      </w:r>
      <w:r>
        <w:rPr>
          <w:rFonts w:ascii="Times New Roman"/>
          <w:sz w:val="20"/>
        </w:rPr>
        <w:t>  </w:t>
      </w:r>
      <w:r>
        <w:rPr>
          <w:rFonts w:ascii="Times New Roman"/>
          <w:spacing w:val="20"/>
          <w:sz w:val="20"/>
        </w:rPr>
        <w:t> </w:t>
      </w:r>
      <w:r>
        <w:rPr>
          <w:spacing w:val="-3"/>
        </w:rPr>
        <w:t>Tax</w:t>
      </w:r>
      <w:r>
        <w:rPr>
          <w:spacing w:val="-7"/>
        </w:rPr>
        <w:t> </w:t>
      </w:r>
      <w:r>
        <w:rPr/>
        <w:t>concession:</w:t>
      </w:r>
      <w:r>
        <w:rPr>
          <w:spacing w:val="-7"/>
        </w:rPr>
        <w:t> </w:t>
      </w:r>
      <w:r>
        <w:rPr/>
        <w:t>100%</w:t>
      </w:r>
      <w:r>
        <w:rPr>
          <w:spacing w:val="-8"/>
        </w:rPr>
        <w:t> </w:t>
      </w:r>
      <w:r>
        <w:rPr/>
        <w:t>of</w:t>
      </w:r>
      <w:r>
        <w:rPr>
          <w:spacing w:val="-8"/>
        </w:rPr>
        <w:t> </w:t>
      </w:r>
      <w:r>
        <w:rPr/>
        <w:t>total</w:t>
      </w:r>
      <w:r>
        <w:rPr>
          <w:spacing w:val="-8"/>
        </w:rPr>
        <w:t> </w:t>
      </w:r>
      <w:r>
        <w:rPr/>
        <w:t>cost</w:t>
      </w:r>
      <w:r>
        <w:rPr>
          <w:spacing w:val="-8"/>
        </w:rPr>
        <w:t> </w:t>
      </w:r>
      <w:r>
        <w:rPr/>
        <w:t>of</w:t>
      </w:r>
      <w:r>
        <w:rPr>
          <w:spacing w:val="-8"/>
        </w:rPr>
        <w:t> </w:t>
      </w:r>
      <w:r>
        <w:rPr/>
        <w:t>removal</w:t>
      </w:r>
      <w:r>
        <w:rPr>
          <w:spacing w:val="-8"/>
        </w:rPr>
        <w:t> </w:t>
      </w:r>
      <w:r>
        <w:rPr/>
        <w:t>is</w:t>
      </w:r>
      <w:r>
        <w:rPr>
          <w:spacing w:val="-8"/>
        </w:rPr>
        <w:t> </w:t>
      </w:r>
      <w:r>
        <w:rPr/>
        <w:t>tax deductable (calculated at a </w:t>
      </w:r>
      <w:r>
        <w:rPr>
          <w:spacing w:val="-3"/>
        </w:rPr>
        <w:t>33% </w:t>
      </w:r>
      <w:r>
        <w:rPr/>
        <w:t>reduction in the cost of</w:t>
      </w:r>
      <w:r>
        <w:rPr>
          <w:spacing w:val="-6"/>
        </w:rPr>
        <w:t> </w:t>
      </w:r>
      <w:r>
        <w:rPr/>
        <w:t>removal).</w:t>
      </w:r>
    </w:p>
    <w:p>
      <w:pPr>
        <w:pStyle w:val="BodyText"/>
        <w:spacing w:line="283" w:lineRule="auto" w:before="133"/>
        <w:ind w:left="1984" w:hanging="284"/>
      </w:pPr>
      <w:r>
        <w:rPr>
          <w:position w:val="-3"/>
        </w:rPr>
        <w:drawing>
          <wp:inline distT="0" distB="0" distL="0" distR="0">
            <wp:extent cx="71843" cy="111455"/>
            <wp:effectExtent l="0" t="0" r="0" b="0"/>
            <wp:docPr id="87" name="image12.png" descr=""/>
            <wp:cNvGraphicFramePr>
              <a:graphicFrameLocks noChangeAspect="1"/>
            </wp:cNvGraphicFramePr>
            <a:graphic>
              <a:graphicData uri="http://schemas.openxmlformats.org/drawingml/2006/picture">
                <pic:pic>
                  <pic:nvPicPr>
                    <pic:cNvPr id="88" name="image12.png"/>
                    <pic:cNvPicPr/>
                  </pic:nvPicPr>
                  <pic:blipFill>
                    <a:blip r:embed="rId16" cstate="print"/>
                    <a:stretch>
                      <a:fillRect/>
                    </a:stretch>
                  </pic:blipFill>
                  <pic:spPr>
                    <a:xfrm>
                      <a:off x="0" y="0"/>
                      <a:ext cx="71843" cy="111455"/>
                    </a:xfrm>
                    <a:prstGeom prst="rect">
                      <a:avLst/>
                    </a:prstGeom>
                  </pic:spPr>
                </pic:pic>
              </a:graphicData>
            </a:graphic>
          </wp:inline>
        </w:drawing>
      </w:r>
      <w:r>
        <w:rPr>
          <w:position w:val="-3"/>
        </w:rPr>
      </w:r>
      <w:r>
        <w:rPr>
          <w:rFonts w:ascii="Times New Roman"/>
          <w:sz w:val="20"/>
        </w:rPr>
        <w:t>  </w:t>
      </w:r>
      <w:r>
        <w:rPr>
          <w:rFonts w:ascii="Times New Roman"/>
          <w:spacing w:val="20"/>
          <w:sz w:val="20"/>
        </w:rPr>
        <w:t> </w:t>
      </w:r>
      <w:r>
        <w:rPr/>
        <w:t>Free</w:t>
      </w:r>
      <w:r>
        <w:rPr>
          <w:spacing w:val="-4"/>
        </w:rPr>
        <w:t> </w:t>
      </w:r>
      <w:r>
        <w:rPr/>
        <w:t>disposal:</w:t>
      </w:r>
      <w:r>
        <w:rPr>
          <w:spacing w:val="-4"/>
        </w:rPr>
        <w:t> </w:t>
      </w:r>
      <w:r>
        <w:rPr/>
        <w:t>A</w:t>
      </w:r>
      <w:r>
        <w:rPr>
          <w:spacing w:val="-5"/>
        </w:rPr>
        <w:t> </w:t>
      </w:r>
      <w:r>
        <w:rPr/>
        <w:t>100%</w:t>
      </w:r>
      <w:r>
        <w:rPr>
          <w:spacing w:val="-5"/>
        </w:rPr>
        <w:t> </w:t>
      </w:r>
      <w:r>
        <w:rPr/>
        <w:t>reduction</w:t>
      </w:r>
      <w:r>
        <w:rPr>
          <w:spacing w:val="-5"/>
        </w:rPr>
        <w:t> </w:t>
      </w:r>
      <w:r>
        <w:rPr/>
        <w:t>in</w:t>
      </w:r>
      <w:r>
        <w:rPr>
          <w:spacing w:val="-5"/>
        </w:rPr>
        <w:t> </w:t>
      </w:r>
      <w:r>
        <w:rPr/>
        <w:t>the</w:t>
      </w:r>
      <w:r>
        <w:rPr>
          <w:spacing w:val="-5"/>
        </w:rPr>
        <w:t> </w:t>
      </w:r>
      <w:r>
        <w:rPr/>
        <w:t>disposal</w:t>
      </w:r>
      <w:r>
        <w:rPr>
          <w:spacing w:val="-5"/>
        </w:rPr>
        <w:t> </w:t>
      </w:r>
      <w:r>
        <w:rPr/>
        <w:t>fee for</w:t>
      </w:r>
      <w:r>
        <w:rPr>
          <w:spacing w:val="-3"/>
        </w:rPr>
        <w:t> </w:t>
      </w:r>
      <w:r>
        <w:rPr/>
        <w:t>asbestos.</w:t>
      </w:r>
    </w:p>
    <w:p>
      <w:pPr>
        <w:pStyle w:val="BodyText"/>
        <w:spacing w:line="283" w:lineRule="auto" w:before="131"/>
        <w:ind w:left="1984" w:hanging="284"/>
      </w:pPr>
      <w:r>
        <w:rPr>
          <w:position w:val="-3"/>
        </w:rPr>
        <w:drawing>
          <wp:inline distT="0" distB="0" distL="0" distR="0">
            <wp:extent cx="71843" cy="111455"/>
            <wp:effectExtent l="0" t="0" r="0" b="0"/>
            <wp:docPr id="89" name="image11.png" descr=""/>
            <wp:cNvGraphicFramePr>
              <a:graphicFrameLocks noChangeAspect="1"/>
            </wp:cNvGraphicFramePr>
            <a:graphic>
              <a:graphicData uri="http://schemas.openxmlformats.org/drawingml/2006/picture">
                <pic:pic>
                  <pic:nvPicPr>
                    <pic:cNvPr id="90" name="image11.png"/>
                    <pic:cNvPicPr/>
                  </pic:nvPicPr>
                  <pic:blipFill>
                    <a:blip r:embed="rId15" cstate="print"/>
                    <a:stretch>
                      <a:fillRect/>
                    </a:stretch>
                  </pic:blipFill>
                  <pic:spPr>
                    <a:xfrm>
                      <a:off x="0" y="0"/>
                      <a:ext cx="71843" cy="111455"/>
                    </a:xfrm>
                    <a:prstGeom prst="rect">
                      <a:avLst/>
                    </a:prstGeom>
                  </pic:spPr>
                </pic:pic>
              </a:graphicData>
            </a:graphic>
          </wp:inline>
        </w:drawing>
      </w:r>
      <w:r>
        <w:rPr>
          <w:position w:val="-3"/>
        </w:rPr>
      </w:r>
      <w:r>
        <w:rPr>
          <w:rFonts w:ascii="Times New Roman"/>
          <w:sz w:val="20"/>
        </w:rPr>
        <w:t>  </w:t>
      </w:r>
      <w:r>
        <w:rPr>
          <w:rFonts w:ascii="Times New Roman"/>
          <w:spacing w:val="20"/>
          <w:sz w:val="20"/>
        </w:rPr>
        <w:t> </w:t>
      </w:r>
      <w:r>
        <w:rPr/>
        <w:t>Interest-free</w:t>
      </w:r>
      <w:r>
        <w:rPr>
          <w:spacing w:val="-10"/>
        </w:rPr>
        <w:t> </w:t>
      </w:r>
      <w:r>
        <w:rPr/>
        <w:t>loan:</w:t>
      </w:r>
      <w:r>
        <w:rPr>
          <w:spacing w:val="-10"/>
        </w:rPr>
        <w:t> </w:t>
      </w:r>
      <w:r>
        <w:rPr/>
        <w:t>An</w:t>
      </w:r>
      <w:r>
        <w:rPr>
          <w:spacing w:val="-11"/>
        </w:rPr>
        <w:t> </w:t>
      </w:r>
      <w:r>
        <w:rPr/>
        <w:t>interest</w:t>
      </w:r>
      <w:r>
        <w:rPr>
          <w:spacing w:val="-11"/>
        </w:rPr>
        <w:t> </w:t>
      </w:r>
      <w:r>
        <w:rPr/>
        <w:t>free</w:t>
      </w:r>
      <w:r>
        <w:rPr>
          <w:spacing w:val="-11"/>
        </w:rPr>
        <w:t> </w:t>
      </w:r>
      <w:r>
        <w:rPr/>
        <w:t>loan</w:t>
      </w:r>
      <w:r>
        <w:rPr>
          <w:spacing w:val="-11"/>
        </w:rPr>
        <w:t> </w:t>
      </w:r>
      <w:r>
        <w:rPr/>
        <w:t>from</w:t>
      </w:r>
      <w:r>
        <w:rPr>
          <w:spacing w:val="-11"/>
        </w:rPr>
        <w:t> </w:t>
      </w:r>
      <w:r>
        <w:rPr/>
        <w:t>the government which covers 100% of the cost of removal</w:t>
      </w:r>
      <w:r>
        <w:rPr>
          <w:spacing w:val="-7"/>
        </w:rPr>
        <w:t> </w:t>
      </w:r>
      <w:r>
        <w:rPr/>
        <w:t>and</w:t>
      </w:r>
      <w:r>
        <w:rPr>
          <w:spacing w:val="-7"/>
        </w:rPr>
        <w:t> </w:t>
      </w:r>
      <w:r>
        <w:rPr/>
        <w:t>replacement</w:t>
      </w:r>
      <w:r>
        <w:rPr>
          <w:spacing w:val="-7"/>
        </w:rPr>
        <w:t> </w:t>
      </w:r>
      <w:r>
        <w:rPr/>
        <w:t>of</w:t>
      </w:r>
      <w:r>
        <w:rPr>
          <w:spacing w:val="-7"/>
        </w:rPr>
        <w:t> </w:t>
      </w:r>
      <w:r>
        <w:rPr/>
        <w:t>the</w:t>
      </w:r>
      <w:r>
        <w:rPr>
          <w:spacing w:val="-7"/>
        </w:rPr>
        <w:t> </w:t>
      </w:r>
      <w:r>
        <w:rPr/>
        <w:t>asbestos.</w:t>
      </w:r>
    </w:p>
    <w:p>
      <w:pPr>
        <w:pStyle w:val="BodyText"/>
        <w:spacing w:line="283" w:lineRule="auto" w:before="132"/>
        <w:ind w:left="1700" w:right="17"/>
      </w:pPr>
      <w:r>
        <w:rPr/>
        <w:t>All</w:t>
      </w:r>
      <w:r>
        <w:rPr>
          <w:spacing w:val="-17"/>
        </w:rPr>
        <w:t> </w:t>
      </w:r>
      <w:r>
        <w:rPr/>
        <w:t>the</w:t>
      </w:r>
      <w:r>
        <w:rPr>
          <w:spacing w:val="-17"/>
        </w:rPr>
        <w:t> </w:t>
      </w:r>
      <w:r>
        <w:rPr/>
        <w:t>government</w:t>
      </w:r>
      <w:r>
        <w:rPr>
          <w:spacing w:val="-17"/>
        </w:rPr>
        <w:t> </w:t>
      </w:r>
      <w:r>
        <w:rPr/>
        <w:t>initiatives</w:t>
      </w:r>
      <w:r>
        <w:rPr>
          <w:spacing w:val="-17"/>
        </w:rPr>
        <w:t> </w:t>
      </w:r>
      <w:r>
        <w:rPr/>
        <w:t>presented</w:t>
      </w:r>
      <w:r>
        <w:rPr>
          <w:spacing w:val="-17"/>
        </w:rPr>
        <w:t> </w:t>
      </w:r>
      <w:r>
        <w:rPr/>
        <w:t>to</w:t>
      </w:r>
      <w:r>
        <w:rPr>
          <w:spacing w:val="-17"/>
        </w:rPr>
        <w:t> </w:t>
      </w:r>
      <w:r>
        <w:rPr/>
        <w:t>participants have importance scores higher than the no initiative option.</w:t>
      </w:r>
      <w:r>
        <w:rPr>
          <w:spacing w:val="-7"/>
        </w:rPr>
        <w:t> </w:t>
      </w:r>
      <w:r>
        <w:rPr/>
        <w:t>This</w:t>
      </w:r>
      <w:r>
        <w:rPr>
          <w:spacing w:val="-7"/>
        </w:rPr>
        <w:t> </w:t>
      </w:r>
      <w:r>
        <w:rPr/>
        <w:t>suggests</w:t>
      </w:r>
      <w:r>
        <w:rPr>
          <w:spacing w:val="-7"/>
        </w:rPr>
        <w:t> </w:t>
      </w:r>
      <w:r>
        <w:rPr/>
        <w:t>that</w:t>
      </w:r>
      <w:r>
        <w:rPr>
          <w:spacing w:val="-7"/>
        </w:rPr>
        <w:t> </w:t>
      </w:r>
      <w:r>
        <w:rPr/>
        <w:t>all</w:t>
      </w:r>
      <w:r>
        <w:rPr>
          <w:spacing w:val="-7"/>
        </w:rPr>
        <w:t> </w:t>
      </w:r>
      <w:r>
        <w:rPr/>
        <w:t>forms</w:t>
      </w:r>
      <w:r>
        <w:rPr>
          <w:spacing w:val="-7"/>
        </w:rPr>
        <w:t> </w:t>
      </w:r>
      <w:r>
        <w:rPr/>
        <w:t>of</w:t>
      </w:r>
      <w:r>
        <w:rPr>
          <w:spacing w:val="-7"/>
        </w:rPr>
        <w:t> </w:t>
      </w:r>
      <w:r>
        <w:rPr/>
        <w:t>initiative</w:t>
      </w:r>
    </w:p>
    <w:p>
      <w:pPr>
        <w:pStyle w:val="BodyText"/>
        <w:spacing w:line="283" w:lineRule="auto" w:before="2"/>
        <w:ind w:left="1700" w:right="125"/>
      </w:pPr>
      <w:r>
        <w:rPr/>
        <w:t>tested would have a positive effect on homeowners’ likelihood to remove asbestos.</w:t>
      </w:r>
    </w:p>
    <w:p>
      <w:pPr>
        <w:pStyle w:val="BodyText"/>
        <w:rPr>
          <w:sz w:val="20"/>
        </w:rPr>
      </w:pPr>
      <w:r>
        <w:rPr/>
        <w:br w:type="column"/>
      </w:r>
      <w:r>
        <w:rPr>
          <w:sz w:val="20"/>
        </w:rPr>
      </w:r>
    </w:p>
    <w:p>
      <w:pPr>
        <w:pStyle w:val="BodyText"/>
        <w:rPr>
          <w:sz w:val="19"/>
        </w:rPr>
      </w:pPr>
    </w:p>
    <w:p>
      <w:pPr>
        <w:pStyle w:val="BodyText"/>
        <w:spacing w:line="283" w:lineRule="auto"/>
        <w:ind w:left="455" w:right="1570"/>
      </w:pPr>
      <w:r>
        <w:rPr/>
        <w:t>As </w:t>
      </w:r>
      <w:r>
        <w:rPr>
          <w:spacing w:val="-3"/>
        </w:rPr>
        <w:t>Table </w:t>
      </w:r>
      <w:r>
        <w:rPr/>
        <w:t>1 and </w:t>
      </w:r>
      <w:r>
        <w:rPr>
          <w:spacing w:val="-3"/>
        </w:rPr>
        <w:t>Table </w:t>
      </w:r>
      <w:r>
        <w:rPr/>
        <w:t>2 show, initiatives which offer the greatest</w:t>
      </w:r>
      <w:r>
        <w:rPr>
          <w:spacing w:val="-12"/>
        </w:rPr>
        <w:t> </w:t>
      </w:r>
      <w:r>
        <w:rPr/>
        <w:t>reduction</w:t>
      </w:r>
      <w:r>
        <w:rPr>
          <w:spacing w:val="-12"/>
        </w:rPr>
        <w:t> </w:t>
      </w:r>
      <w:r>
        <w:rPr/>
        <w:t>in</w:t>
      </w:r>
      <w:r>
        <w:rPr>
          <w:spacing w:val="-12"/>
        </w:rPr>
        <w:t> </w:t>
      </w:r>
      <w:r>
        <w:rPr/>
        <w:t>total</w:t>
      </w:r>
      <w:r>
        <w:rPr>
          <w:spacing w:val="-12"/>
        </w:rPr>
        <w:t> </w:t>
      </w:r>
      <w:r>
        <w:rPr/>
        <w:t>cost</w:t>
      </w:r>
      <w:r>
        <w:rPr>
          <w:spacing w:val="-12"/>
        </w:rPr>
        <w:t> </w:t>
      </w:r>
      <w:r>
        <w:rPr/>
        <w:t>of</w:t>
      </w:r>
      <w:r>
        <w:rPr>
          <w:spacing w:val="-12"/>
        </w:rPr>
        <w:t> </w:t>
      </w:r>
      <w:r>
        <w:rPr/>
        <w:t>removal</w:t>
      </w:r>
      <w:r>
        <w:rPr>
          <w:spacing w:val="-12"/>
        </w:rPr>
        <w:t> </w:t>
      </w:r>
      <w:r>
        <w:rPr/>
        <w:t>and</w:t>
      </w:r>
      <w:r>
        <w:rPr>
          <w:spacing w:val="-12"/>
        </w:rPr>
        <w:t> </w:t>
      </w:r>
      <w:r>
        <w:rPr/>
        <w:t>disposal are the most effective in encouraging homeowners to remove</w:t>
      </w:r>
      <w:r>
        <w:rPr>
          <w:spacing w:val="-15"/>
        </w:rPr>
        <w:t> </w:t>
      </w:r>
      <w:r>
        <w:rPr/>
        <w:t>asbestos.</w:t>
      </w:r>
      <w:r>
        <w:rPr>
          <w:spacing w:val="-15"/>
        </w:rPr>
        <w:t> </w:t>
      </w:r>
      <w:r>
        <w:rPr/>
        <w:t>The</w:t>
      </w:r>
      <w:r>
        <w:rPr>
          <w:spacing w:val="-15"/>
        </w:rPr>
        <w:t> </w:t>
      </w:r>
      <w:r>
        <w:rPr/>
        <w:t>initiative</w:t>
      </w:r>
      <w:r>
        <w:rPr>
          <w:spacing w:val="-15"/>
        </w:rPr>
        <w:t> </w:t>
      </w:r>
      <w:r>
        <w:rPr/>
        <w:t>under</w:t>
      </w:r>
      <w:r>
        <w:rPr>
          <w:spacing w:val="-15"/>
        </w:rPr>
        <w:t> </w:t>
      </w:r>
      <w:r>
        <w:rPr/>
        <w:t>which</w:t>
      </w:r>
      <w:r>
        <w:rPr>
          <w:spacing w:val="-15"/>
        </w:rPr>
        <w:t> </w:t>
      </w:r>
      <w:r>
        <w:rPr/>
        <w:t>immediate removal</w:t>
      </w:r>
      <w:r>
        <w:rPr>
          <w:spacing w:val="-14"/>
        </w:rPr>
        <w:t> </w:t>
      </w:r>
      <w:r>
        <w:rPr/>
        <w:t>of</w:t>
      </w:r>
      <w:r>
        <w:rPr>
          <w:spacing w:val="-14"/>
        </w:rPr>
        <w:t> </w:t>
      </w:r>
      <w:r>
        <w:rPr/>
        <w:t>asbestos</w:t>
      </w:r>
      <w:r>
        <w:rPr>
          <w:spacing w:val="-14"/>
        </w:rPr>
        <w:t> </w:t>
      </w:r>
      <w:r>
        <w:rPr/>
        <w:t>is</w:t>
      </w:r>
      <w:r>
        <w:rPr>
          <w:spacing w:val="-14"/>
        </w:rPr>
        <w:t> </w:t>
      </w:r>
      <w:r>
        <w:rPr/>
        <w:t>most</w:t>
      </w:r>
      <w:r>
        <w:rPr>
          <w:spacing w:val="-14"/>
        </w:rPr>
        <w:t> </w:t>
      </w:r>
      <w:r>
        <w:rPr/>
        <w:t>likely</w:t>
      </w:r>
      <w:r>
        <w:rPr>
          <w:spacing w:val="-14"/>
        </w:rPr>
        <w:t> </w:t>
      </w:r>
      <w:r>
        <w:rPr/>
        <w:t>is</w:t>
      </w:r>
      <w:r>
        <w:rPr>
          <w:spacing w:val="-14"/>
        </w:rPr>
        <w:t> </w:t>
      </w:r>
      <w:r>
        <w:rPr/>
        <w:t>free</w:t>
      </w:r>
      <w:r>
        <w:rPr>
          <w:spacing w:val="-14"/>
        </w:rPr>
        <w:t> </w:t>
      </w:r>
      <w:r>
        <w:rPr/>
        <w:t>disposal,</w:t>
      </w:r>
      <w:r>
        <w:rPr>
          <w:spacing w:val="-14"/>
        </w:rPr>
        <w:t> </w:t>
      </w:r>
      <w:r>
        <w:rPr/>
        <w:t>which has</w:t>
      </w:r>
      <w:r>
        <w:rPr>
          <w:spacing w:val="-17"/>
        </w:rPr>
        <w:t> </w:t>
      </w:r>
      <w:r>
        <w:rPr/>
        <w:t>a</w:t>
      </w:r>
      <w:r>
        <w:rPr>
          <w:spacing w:val="-17"/>
        </w:rPr>
        <w:t> </w:t>
      </w:r>
      <w:r>
        <w:rPr/>
        <w:t>higher</w:t>
      </w:r>
      <w:r>
        <w:rPr>
          <w:spacing w:val="-17"/>
        </w:rPr>
        <w:t> </w:t>
      </w:r>
      <w:r>
        <w:rPr/>
        <w:t>importance</w:t>
      </w:r>
      <w:r>
        <w:rPr>
          <w:spacing w:val="-17"/>
        </w:rPr>
        <w:t> </w:t>
      </w:r>
      <w:r>
        <w:rPr/>
        <w:t>score</w:t>
      </w:r>
      <w:r>
        <w:rPr>
          <w:spacing w:val="-17"/>
        </w:rPr>
        <w:t> </w:t>
      </w:r>
      <w:r>
        <w:rPr/>
        <w:t>(0.46)</w:t>
      </w:r>
      <w:r>
        <w:rPr>
          <w:spacing w:val="-17"/>
        </w:rPr>
        <w:t> </w:t>
      </w:r>
      <w:r>
        <w:rPr/>
        <w:t>than</w:t>
      </w:r>
      <w:r>
        <w:rPr>
          <w:spacing w:val="-17"/>
        </w:rPr>
        <w:t> </w:t>
      </w:r>
      <w:r>
        <w:rPr/>
        <w:t>all</w:t>
      </w:r>
      <w:r>
        <w:rPr>
          <w:spacing w:val="-17"/>
        </w:rPr>
        <w:t> </w:t>
      </w:r>
      <w:r>
        <w:rPr/>
        <w:t>others.</w:t>
      </w:r>
      <w:r>
        <w:rPr>
          <w:spacing w:val="-17"/>
        </w:rPr>
        <w:t> </w:t>
      </w:r>
      <w:r>
        <w:rPr/>
        <w:t>This initiative</w:t>
      </w:r>
      <w:r>
        <w:rPr>
          <w:spacing w:val="-7"/>
        </w:rPr>
        <w:t> </w:t>
      </w:r>
      <w:r>
        <w:rPr/>
        <w:t>also</w:t>
      </w:r>
      <w:r>
        <w:rPr>
          <w:spacing w:val="-7"/>
        </w:rPr>
        <w:t> </w:t>
      </w:r>
      <w:r>
        <w:rPr/>
        <w:t>offers</w:t>
      </w:r>
      <w:r>
        <w:rPr>
          <w:spacing w:val="-7"/>
        </w:rPr>
        <w:t> </w:t>
      </w:r>
      <w:r>
        <w:rPr/>
        <w:t>the</w:t>
      </w:r>
      <w:r>
        <w:rPr>
          <w:spacing w:val="-7"/>
        </w:rPr>
        <w:t> </w:t>
      </w:r>
      <w:r>
        <w:rPr/>
        <w:t>highest</w:t>
      </w:r>
      <w:r>
        <w:rPr>
          <w:spacing w:val="-7"/>
        </w:rPr>
        <w:t> </w:t>
      </w:r>
      <w:r>
        <w:rPr/>
        <w:t>reduction</w:t>
      </w:r>
      <w:r>
        <w:rPr>
          <w:spacing w:val="-7"/>
        </w:rPr>
        <w:t> </w:t>
      </w:r>
      <w:r>
        <w:rPr/>
        <w:t>in</w:t>
      </w:r>
      <w:r>
        <w:rPr>
          <w:spacing w:val="-7"/>
        </w:rPr>
        <w:t> </w:t>
      </w:r>
      <w:r>
        <w:rPr/>
        <w:t>cost.</w:t>
      </w:r>
    </w:p>
    <w:p>
      <w:pPr>
        <w:pStyle w:val="BodyText"/>
        <w:spacing w:line="283" w:lineRule="auto" w:before="135"/>
        <w:ind w:left="455" w:right="1801"/>
      </w:pPr>
      <w:r>
        <w:rPr/>
        <w:pict>
          <v:group style="position:absolute;margin-left:308.976013pt;margin-top:95.698654pt;width:286.3pt;height:152.15pt;mso-position-horizontal-relative:page;mso-position-vertical-relative:paragraph;z-index:2152" coordorigin="6180,1914" coordsize="5726,3043">
            <v:rect style="position:absolute;left:6179;top:1913;width:5726;height:3043" filled="true" fillcolor="#1c75bc" stroked="false">
              <v:fill opacity="9830f" type="solid"/>
            </v:rect>
            <v:shape style="position:absolute;left:6406;top:3024;width:114;height:176" type="#_x0000_t75" stroked="false">
              <v:imagedata r:id="rId13" o:title=""/>
            </v:shape>
            <v:shape style="position:absolute;left:6406;top:3934;width:114;height:176" type="#_x0000_t75" stroked="false">
              <v:imagedata r:id="rId14" o:title=""/>
            </v:shape>
            <v:shape style="position:absolute;left:6179;top:1913;width:5726;height:3043" type="#_x0000_t202" filled="false" stroked="false">
              <v:textbox inset="0,0,0,0">
                <w:txbxContent>
                  <w:p>
                    <w:pPr>
                      <w:spacing w:before="201"/>
                      <w:ind w:left="226" w:right="0" w:firstLine="0"/>
                      <w:jc w:val="left"/>
                      <w:rPr>
                        <w:rFonts w:ascii="Arial"/>
                        <w:sz w:val="28"/>
                      </w:rPr>
                    </w:pPr>
                    <w:r>
                      <w:rPr>
                        <w:rFonts w:ascii="Arial"/>
                        <w:w w:val="90"/>
                        <w:sz w:val="28"/>
                      </w:rPr>
                      <w:t>Conclusions</w:t>
                    </w:r>
                  </w:p>
                  <w:p>
                    <w:pPr>
                      <w:spacing w:before="159"/>
                      <w:ind w:left="510" w:right="0" w:hanging="284"/>
                      <w:jc w:val="left"/>
                      <w:rPr>
                        <w:sz w:val="18"/>
                      </w:rPr>
                    </w:pPr>
                    <w:r>
                      <w:rPr>
                        <w:sz w:val="18"/>
                      </w:rPr>
                      <w:t>The findings above support the conclusions that:</w:t>
                    </w:r>
                  </w:p>
                  <w:p>
                    <w:pPr>
                      <w:spacing w:line="283" w:lineRule="auto" w:before="170"/>
                      <w:ind w:left="510" w:right="1912" w:firstLine="0"/>
                      <w:jc w:val="left"/>
                      <w:rPr>
                        <w:sz w:val="18"/>
                      </w:rPr>
                    </w:pPr>
                    <w:r>
                      <w:rPr>
                        <w:sz w:val="18"/>
                      </w:rPr>
                      <w:t>Forms of government initiative which reduce the combined cost of removal and disposal are effective</w:t>
                    </w:r>
                  </w:p>
                  <w:p>
                    <w:pPr>
                      <w:spacing w:line="283" w:lineRule="auto" w:before="133"/>
                      <w:ind w:left="510" w:right="2080" w:firstLine="0"/>
                      <w:jc w:val="left"/>
                      <w:rPr>
                        <w:sz w:val="18"/>
                      </w:rPr>
                    </w:pPr>
                    <w:r>
                      <w:rPr>
                        <w:sz w:val="18"/>
                      </w:rPr>
                      <w:t>Interest-free</w:t>
                    </w:r>
                    <w:r>
                      <w:rPr>
                        <w:spacing w:val="-22"/>
                        <w:sz w:val="18"/>
                      </w:rPr>
                      <w:t> </w:t>
                    </w:r>
                    <w:r>
                      <w:rPr>
                        <w:sz w:val="18"/>
                      </w:rPr>
                      <w:t>loans</w:t>
                    </w:r>
                    <w:r>
                      <w:rPr>
                        <w:spacing w:val="-22"/>
                        <w:sz w:val="18"/>
                      </w:rPr>
                      <w:t> </w:t>
                    </w:r>
                    <w:r>
                      <w:rPr>
                        <w:sz w:val="18"/>
                      </w:rPr>
                      <w:t>are</w:t>
                    </w:r>
                    <w:r>
                      <w:rPr>
                        <w:spacing w:val="-22"/>
                        <w:sz w:val="18"/>
                      </w:rPr>
                      <w:t> </w:t>
                    </w:r>
                    <w:r>
                      <w:rPr>
                        <w:sz w:val="18"/>
                      </w:rPr>
                      <w:t>an</w:t>
                    </w:r>
                    <w:r>
                      <w:rPr>
                        <w:spacing w:val="-22"/>
                        <w:sz w:val="18"/>
                      </w:rPr>
                      <w:t> </w:t>
                    </w:r>
                    <w:r>
                      <w:rPr>
                        <w:sz w:val="18"/>
                      </w:rPr>
                      <w:t>effective</w:t>
                    </w:r>
                    <w:r>
                      <w:rPr>
                        <w:spacing w:val="-22"/>
                        <w:sz w:val="18"/>
                      </w:rPr>
                      <w:t> </w:t>
                    </w:r>
                    <w:r>
                      <w:rPr>
                        <w:sz w:val="18"/>
                      </w:rPr>
                      <w:t>means</w:t>
                    </w:r>
                    <w:r>
                      <w:rPr>
                        <w:spacing w:val="-22"/>
                        <w:sz w:val="18"/>
                      </w:rPr>
                      <w:t> </w:t>
                    </w:r>
                    <w:r>
                      <w:rPr>
                        <w:sz w:val="18"/>
                      </w:rPr>
                      <w:t>of increasing removal, although less so than interventions that reduce</w:t>
                    </w:r>
                    <w:r>
                      <w:rPr>
                        <w:spacing w:val="-14"/>
                        <w:sz w:val="18"/>
                      </w:rPr>
                      <w:t> </w:t>
                    </w:r>
                    <w:r>
                      <w:rPr>
                        <w:sz w:val="18"/>
                      </w:rPr>
                      <w:t>costs</w:t>
                    </w:r>
                  </w:p>
                </w:txbxContent>
              </v:textbox>
              <w10:wrap type="none"/>
            </v:shape>
            <w10:wrap type="none"/>
          </v:group>
        </w:pict>
      </w:r>
      <w:r>
        <w:rPr/>
        <w:t>However, it should be noted that the interest-free loan, which infers no cost reduction at all (but does allow</w:t>
      </w:r>
      <w:r>
        <w:rPr>
          <w:spacing w:val="-19"/>
        </w:rPr>
        <w:t> </w:t>
      </w:r>
      <w:r>
        <w:rPr/>
        <w:t>for</w:t>
      </w:r>
      <w:r>
        <w:rPr>
          <w:spacing w:val="-19"/>
        </w:rPr>
        <w:t> </w:t>
      </w:r>
      <w:r>
        <w:rPr/>
        <w:t>deferred</w:t>
      </w:r>
      <w:r>
        <w:rPr>
          <w:spacing w:val="-19"/>
        </w:rPr>
        <w:t> </w:t>
      </w:r>
      <w:r>
        <w:rPr/>
        <w:t>payment)</w:t>
      </w:r>
      <w:r>
        <w:rPr>
          <w:spacing w:val="-19"/>
        </w:rPr>
        <w:t> </w:t>
      </w:r>
      <w:r>
        <w:rPr/>
        <w:t>increases</w:t>
      </w:r>
      <w:r>
        <w:rPr>
          <w:spacing w:val="-19"/>
        </w:rPr>
        <w:t> </w:t>
      </w:r>
      <w:r>
        <w:rPr/>
        <w:t>the</w:t>
      </w:r>
      <w:r>
        <w:rPr>
          <w:spacing w:val="-19"/>
        </w:rPr>
        <w:t> </w:t>
      </w:r>
      <w:r>
        <w:rPr/>
        <w:t>proportion of homeowners choosing to remove asbestos and is therefore more</w:t>
      </w:r>
      <w:r>
        <w:rPr>
          <w:spacing w:val="-7"/>
        </w:rPr>
        <w:t> </w:t>
      </w:r>
      <w:r>
        <w:rPr/>
        <w:t>effective.</w:t>
      </w:r>
    </w:p>
    <w:p>
      <w:pPr>
        <w:spacing w:after="0" w:line="283" w:lineRule="auto"/>
        <w:sectPr>
          <w:pgSz w:w="11910" w:h="16840"/>
          <w:pgMar w:top="1560" w:bottom="280" w:left="0" w:right="0"/>
          <w:cols w:num="2" w:equalWidth="0">
            <w:col w:w="5684" w:space="40"/>
            <w:col w:w="6186"/>
          </w:cols>
        </w:sectPr>
      </w:pPr>
    </w:p>
    <w:p>
      <w:pPr>
        <w:pStyle w:val="Heading1"/>
        <w:spacing w:line="225" w:lineRule="auto" w:before="124"/>
        <w:ind w:right="2949"/>
      </w:pPr>
      <w:r>
        <w:rPr/>
        <w:pict>
          <v:shape style="position:absolute;margin-left:56.693401pt;margin-top:.071110pt;width:21.95pt;height:38.35pt;mso-position-horizontal-relative:page;mso-position-vertical-relative:paragraph;z-index:2200" coordorigin="1134,1" coordsize="439,767" path="m1189,1l1135,56,1463,384,1134,713,1189,768,1572,384,1189,1xe" filled="true" fillcolor="#d71920" stroked="false">
            <v:path arrowok="t"/>
            <v:fill type="solid"/>
            <w10:wrap type="none"/>
          </v:shape>
        </w:pict>
      </w:r>
      <w:r>
        <w:rPr>
          <w:color w:val="1C75BC"/>
          <w:w w:val="75"/>
        </w:rPr>
        <w:t>KEY FINDINGS – COMMERCIAL </w:t>
      </w:r>
      <w:r>
        <w:rPr>
          <w:color w:val="1C75BC"/>
          <w:w w:val="85"/>
        </w:rPr>
        <w:t>BUILDING MANAGERS</w:t>
      </w:r>
    </w:p>
    <w:p>
      <w:pPr>
        <w:pStyle w:val="BodyText"/>
        <w:rPr>
          <w:rFonts w:ascii="Arial"/>
          <w:sz w:val="20"/>
        </w:rPr>
      </w:pPr>
    </w:p>
    <w:p>
      <w:pPr>
        <w:pStyle w:val="BodyText"/>
        <w:rPr>
          <w:rFonts w:ascii="Arial"/>
          <w:sz w:val="20"/>
        </w:rPr>
      </w:pPr>
    </w:p>
    <w:p>
      <w:pPr>
        <w:pStyle w:val="BodyText"/>
        <w:spacing w:before="2"/>
        <w:rPr>
          <w:rFonts w:ascii="Arial"/>
          <w:sz w:val="22"/>
        </w:rPr>
      </w:pPr>
    </w:p>
    <w:p>
      <w:pPr>
        <w:spacing w:after="0"/>
        <w:rPr>
          <w:rFonts w:ascii="Arial"/>
          <w:sz w:val="22"/>
        </w:rPr>
        <w:sectPr>
          <w:pgSz w:w="11910" w:h="16840"/>
          <w:pgMar w:top="1540" w:bottom="280" w:left="0" w:right="0"/>
        </w:sectPr>
      </w:pPr>
    </w:p>
    <w:p>
      <w:pPr>
        <w:pStyle w:val="Heading2"/>
      </w:pPr>
      <w:r>
        <w:rPr/>
        <w:pict>
          <v:rect style="position:absolute;margin-left:0pt;margin-top:-18.674139pt;width:595.276pt;height:7.3pt;mso-position-horizontal-relative:page;mso-position-vertical-relative:paragraph;z-index:2176" filled="true" fillcolor="#000000" stroked="false">
            <v:fill opacity="49152f" type="solid"/>
            <w10:wrap type="none"/>
          </v:rect>
        </w:pict>
      </w:r>
      <w:r>
        <w:rPr>
          <w:w w:val="90"/>
        </w:rPr>
        <w:t>Roles and responsibilities</w:t>
      </w:r>
    </w:p>
    <w:p>
      <w:pPr>
        <w:pStyle w:val="BodyText"/>
        <w:spacing w:line="283" w:lineRule="auto" w:before="159"/>
        <w:ind w:left="1700" w:right="-18"/>
      </w:pPr>
      <w:r>
        <w:rPr/>
        <w:t>Commercial building managers interviewed varied in terms of the portfolios they managed (type of commercial property, mix of residential and commercial properties and age of properties) as well as their positions and subsequently, roles and responsibilities. The role of strata and property managers was relatively limited in terms</w:t>
      </w:r>
    </w:p>
    <w:p>
      <w:pPr>
        <w:pStyle w:val="BodyText"/>
        <w:spacing w:line="283" w:lineRule="auto" w:before="4"/>
        <w:ind w:left="1700" w:right="77"/>
      </w:pPr>
      <w:r>
        <w:rPr/>
        <w:t>of decision-making power regarding asbestos; they provided information regarding legislative requirements, recommendations</w:t>
      </w:r>
      <w:r>
        <w:rPr>
          <w:spacing w:val="-18"/>
        </w:rPr>
        <w:t> </w:t>
      </w:r>
      <w:r>
        <w:rPr/>
        <w:t>and</w:t>
      </w:r>
      <w:r>
        <w:rPr>
          <w:spacing w:val="-18"/>
        </w:rPr>
        <w:t> </w:t>
      </w:r>
      <w:r>
        <w:rPr/>
        <w:t>quotes</w:t>
      </w:r>
      <w:r>
        <w:rPr>
          <w:spacing w:val="-18"/>
        </w:rPr>
        <w:t> </w:t>
      </w:r>
      <w:r>
        <w:rPr/>
        <w:t>however,</w:t>
      </w:r>
      <w:r>
        <w:rPr>
          <w:spacing w:val="-18"/>
        </w:rPr>
        <w:t> </w:t>
      </w:r>
      <w:r>
        <w:rPr/>
        <w:t>beyond</w:t>
      </w:r>
      <w:r>
        <w:rPr>
          <w:spacing w:val="-18"/>
        </w:rPr>
        <w:t> </w:t>
      </w:r>
      <w:r>
        <w:rPr/>
        <w:t>this,</w:t>
      </w:r>
      <w:r>
        <w:rPr>
          <w:spacing w:val="-18"/>
        </w:rPr>
        <w:t> </w:t>
      </w:r>
      <w:r>
        <w:rPr/>
        <w:t>their influence was</w:t>
      </w:r>
      <w:r>
        <w:rPr>
          <w:spacing w:val="-6"/>
        </w:rPr>
        <w:t> </w:t>
      </w:r>
      <w:r>
        <w:rPr/>
        <w:t>restricted.</w:t>
      </w:r>
    </w:p>
    <w:p>
      <w:pPr>
        <w:pStyle w:val="BodyText"/>
        <w:spacing w:line="283" w:lineRule="auto" w:before="133"/>
        <w:ind w:left="1700" w:right="23"/>
      </w:pPr>
      <w:r>
        <w:rPr/>
        <w:t>While property owners were thought to be driven heavily by</w:t>
      </w:r>
      <w:r>
        <w:rPr>
          <w:spacing w:val="-11"/>
        </w:rPr>
        <w:t> </w:t>
      </w:r>
      <w:r>
        <w:rPr/>
        <w:t>cost,</w:t>
      </w:r>
      <w:r>
        <w:rPr>
          <w:spacing w:val="-11"/>
        </w:rPr>
        <w:t> </w:t>
      </w:r>
      <w:r>
        <w:rPr/>
        <w:t>property</w:t>
      </w:r>
      <w:r>
        <w:rPr>
          <w:spacing w:val="-11"/>
        </w:rPr>
        <w:t> </w:t>
      </w:r>
      <w:r>
        <w:rPr/>
        <w:t>managers</w:t>
      </w:r>
      <w:r>
        <w:rPr>
          <w:spacing w:val="-11"/>
        </w:rPr>
        <w:t> </w:t>
      </w:r>
      <w:r>
        <w:rPr/>
        <w:t>were</w:t>
      </w:r>
      <w:r>
        <w:rPr>
          <w:spacing w:val="-11"/>
        </w:rPr>
        <w:t> </w:t>
      </w:r>
      <w:r>
        <w:rPr/>
        <w:t>strongly</w:t>
      </w:r>
      <w:r>
        <w:rPr>
          <w:spacing w:val="-11"/>
        </w:rPr>
        <w:t> </w:t>
      </w:r>
      <w:r>
        <w:rPr/>
        <w:t>motivated</w:t>
      </w:r>
      <w:r>
        <w:rPr>
          <w:spacing w:val="-11"/>
        </w:rPr>
        <w:t> </w:t>
      </w:r>
      <w:r>
        <w:rPr/>
        <w:t>by</w:t>
      </w:r>
      <w:r>
        <w:rPr>
          <w:spacing w:val="-11"/>
        </w:rPr>
        <w:t> </w:t>
      </w:r>
      <w:r>
        <w:rPr/>
        <w:t>an adherence to legislative requirements. For most property managers interviewed, having a reliable record of the presence</w:t>
      </w:r>
      <w:r>
        <w:rPr>
          <w:spacing w:val="-12"/>
        </w:rPr>
        <w:t> </w:t>
      </w:r>
      <w:r>
        <w:rPr/>
        <w:t>of</w:t>
      </w:r>
      <w:r>
        <w:rPr>
          <w:spacing w:val="-12"/>
        </w:rPr>
        <w:t> </w:t>
      </w:r>
      <w:r>
        <w:rPr/>
        <w:t>asbestos</w:t>
      </w:r>
      <w:r>
        <w:rPr>
          <w:spacing w:val="-12"/>
        </w:rPr>
        <w:t> </w:t>
      </w:r>
      <w:r>
        <w:rPr/>
        <w:t>(and</w:t>
      </w:r>
      <w:r>
        <w:rPr>
          <w:spacing w:val="-12"/>
        </w:rPr>
        <w:t> </w:t>
      </w:r>
      <w:r>
        <w:rPr/>
        <w:t>location)</w:t>
      </w:r>
      <w:r>
        <w:rPr>
          <w:spacing w:val="-12"/>
        </w:rPr>
        <w:t> </w:t>
      </w:r>
      <w:r>
        <w:rPr/>
        <w:t>was</w:t>
      </w:r>
      <w:r>
        <w:rPr>
          <w:spacing w:val="-12"/>
        </w:rPr>
        <w:t> </w:t>
      </w:r>
      <w:r>
        <w:rPr/>
        <w:t>highly</w:t>
      </w:r>
      <w:r>
        <w:rPr>
          <w:spacing w:val="-12"/>
        </w:rPr>
        <w:t> </w:t>
      </w:r>
      <w:r>
        <w:rPr/>
        <w:t>important, to ensure the protection of others working onsite. It is a legal</w:t>
      </w:r>
      <w:r>
        <w:rPr>
          <w:spacing w:val="-15"/>
        </w:rPr>
        <w:t> </w:t>
      </w:r>
      <w:r>
        <w:rPr/>
        <w:t>requirement</w:t>
      </w:r>
      <w:r>
        <w:rPr>
          <w:spacing w:val="-15"/>
        </w:rPr>
        <w:t> </w:t>
      </w:r>
      <w:r>
        <w:rPr/>
        <w:t>that</w:t>
      </w:r>
      <w:r>
        <w:rPr>
          <w:spacing w:val="-15"/>
        </w:rPr>
        <w:t> </w:t>
      </w:r>
      <w:r>
        <w:rPr/>
        <w:t>workplaces</w:t>
      </w:r>
      <w:r>
        <w:rPr>
          <w:spacing w:val="-15"/>
        </w:rPr>
        <w:t> </w:t>
      </w:r>
      <w:r>
        <w:rPr/>
        <w:t>built</w:t>
      </w:r>
      <w:r>
        <w:rPr>
          <w:spacing w:val="-15"/>
        </w:rPr>
        <w:t> </w:t>
      </w:r>
      <w:r>
        <w:rPr/>
        <w:t>prior</w:t>
      </w:r>
      <w:r>
        <w:rPr>
          <w:spacing w:val="-15"/>
        </w:rPr>
        <w:t> </w:t>
      </w:r>
      <w:r>
        <w:rPr/>
        <w:t>to</w:t>
      </w:r>
      <w:r>
        <w:rPr>
          <w:spacing w:val="-15"/>
        </w:rPr>
        <w:t> </w:t>
      </w:r>
      <w:r>
        <w:rPr/>
        <w:t>2003</w:t>
      </w:r>
      <w:r>
        <w:rPr>
          <w:spacing w:val="-15"/>
        </w:rPr>
        <w:t> </w:t>
      </w:r>
      <w:r>
        <w:rPr/>
        <w:t>have an asbestos</w:t>
      </w:r>
      <w:r>
        <w:rPr>
          <w:spacing w:val="-6"/>
        </w:rPr>
        <w:t> </w:t>
      </w:r>
      <w:r>
        <w:rPr/>
        <w:t>register.</w:t>
      </w:r>
    </w:p>
    <w:p>
      <w:pPr>
        <w:pStyle w:val="Heading2"/>
        <w:spacing w:before="105"/>
        <w:ind w:right="395"/>
      </w:pPr>
      <w:r>
        <w:rPr>
          <w:w w:val="80"/>
        </w:rPr>
        <w:t>Salience of asbestos, perceived health </w:t>
      </w:r>
      <w:r>
        <w:rPr>
          <w:w w:val="90"/>
        </w:rPr>
        <w:t>risks and sources of information</w:t>
      </w:r>
    </w:p>
    <w:p>
      <w:pPr>
        <w:pStyle w:val="BodyText"/>
        <w:spacing w:line="283" w:lineRule="auto" w:before="158"/>
        <w:ind w:left="1700" w:right="66"/>
      </w:pPr>
      <w:r>
        <w:rPr/>
        <w:t>Asbestos was very much top-of-mind for property managers when queried on health risks in the buildings they were responsible for. Asbestos was considered to pose substantial risks where it does </w:t>
      </w:r>
      <w:r>
        <w:rPr>
          <w:spacing w:val="-2"/>
        </w:rPr>
        <w:t>occur, </w:t>
      </w:r>
      <w:r>
        <w:rPr/>
        <w:t>however the likelihood of it occurring was deemed to be low. Despite the perceived low likelihood of asbestos being found among</w:t>
      </w:r>
      <w:r>
        <w:rPr>
          <w:spacing w:val="-11"/>
        </w:rPr>
        <w:t> </w:t>
      </w:r>
      <w:r>
        <w:rPr/>
        <w:t>their</w:t>
      </w:r>
      <w:r>
        <w:rPr>
          <w:spacing w:val="-11"/>
        </w:rPr>
        <w:t> </w:t>
      </w:r>
      <w:r>
        <w:rPr/>
        <w:t>property</w:t>
      </w:r>
      <w:r>
        <w:rPr>
          <w:spacing w:val="-11"/>
        </w:rPr>
        <w:t> </w:t>
      </w:r>
      <w:r>
        <w:rPr/>
        <w:t>portfolio,</w:t>
      </w:r>
      <w:r>
        <w:rPr>
          <w:spacing w:val="-11"/>
        </w:rPr>
        <w:t> </w:t>
      </w:r>
      <w:r>
        <w:rPr/>
        <w:t>it</w:t>
      </w:r>
      <w:r>
        <w:rPr>
          <w:spacing w:val="-11"/>
        </w:rPr>
        <w:t> </w:t>
      </w:r>
      <w:r>
        <w:rPr/>
        <w:t>was</w:t>
      </w:r>
      <w:r>
        <w:rPr>
          <w:spacing w:val="-11"/>
        </w:rPr>
        <w:t> </w:t>
      </w:r>
      <w:r>
        <w:rPr/>
        <w:t>considered</w:t>
      </w:r>
      <w:r>
        <w:rPr>
          <w:spacing w:val="-11"/>
        </w:rPr>
        <w:t> </w:t>
      </w:r>
      <w:r>
        <w:rPr/>
        <w:t>to</w:t>
      </w:r>
      <w:r>
        <w:rPr>
          <w:spacing w:val="-11"/>
        </w:rPr>
        <w:t> </w:t>
      </w:r>
      <w:r>
        <w:rPr/>
        <w:t>have a</w:t>
      </w:r>
      <w:r>
        <w:rPr>
          <w:spacing w:val="-9"/>
        </w:rPr>
        <w:t> </w:t>
      </w:r>
      <w:r>
        <w:rPr/>
        <w:t>high</w:t>
      </w:r>
      <w:r>
        <w:rPr>
          <w:spacing w:val="-9"/>
        </w:rPr>
        <w:t> </w:t>
      </w:r>
      <w:r>
        <w:rPr/>
        <w:t>impact</w:t>
      </w:r>
      <w:r>
        <w:rPr>
          <w:spacing w:val="-9"/>
        </w:rPr>
        <w:t> </w:t>
      </w:r>
      <w:r>
        <w:rPr/>
        <w:t>if</w:t>
      </w:r>
      <w:r>
        <w:rPr>
          <w:spacing w:val="-9"/>
        </w:rPr>
        <w:t> </w:t>
      </w:r>
      <w:r>
        <w:rPr/>
        <w:t>it</w:t>
      </w:r>
      <w:r>
        <w:rPr>
          <w:spacing w:val="-9"/>
        </w:rPr>
        <w:t> </w:t>
      </w:r>
      <w:r>
        <w:rPr/>
        <w:t>were</w:t>
      </w:r>
      <w:r>
        <w:rPr>
          <w:spacing w:val="-9"/>
        </w:rPr>
        <w:t> </w:t>
      </w:r>
      <w:r>
        <w:rPr/>
        <w:t>to</w:t>
      </w:r>
      <w:r>
        <w:rPr>
          <w:spacing w:val="-9"/>
        </w:rPr>
        <w:t> </w:t>
      </w:r>
      <w:r>
        <w:rPr/>
        <w:t>be</w:t>
      </w:r>
      <w:r>
        <w:rPr>
          <w:spacing w:val="-9"/>
        </w:rPr>
        <w:t> </w:t>
      </w:r>
      <w:r>
        <w:rPr/>
        <w:t>found,</w:t>
      </w:r>
      <w:r>
        <w:rPr>
          <w:spacing w:val="-9"/>
        </w:rPr>
        <w:t> </w:t>
      </w:r>
      <w:r>
        <w:rPr/>
        <w:t>and</w:t>
      </w:r>
      <w:r>
        <w:rPr>
          <w:spacing w:val="-9"/>
        </w:rPr>
        <w:t> </w:t>
      </w:r>
      <w:r>
        <w:rPr/>
        <w:t>participants</w:t>
      </w:r>
      <w:r>
        <w:rPr>
          <w:spacing w:val="-9"/>
        </w:rPr>
        <w:t> </w:t>
      </w:r>
      <w:r>
        <w:rPr/>
        <w:t>were wary about</w:t>
      </w:r>
      <w:r>
        <w:rPr>
          <w:spacing w:val="-5"/>
        </w:rPr>
        <w:t> </w:t>
      </w:r>
      <w:r>
        <w:rPr/>
        <w:t>this.</w:t>
      </w:r>
    </w:p>
    <w:p>
      <w:pPr>
        <w:pStyle w:val="BodyText"/>
        <w:spacing w:line="283" w:lineRule="auto" w:before="135"/>
        <w:ind w:left="1700"/>
      </w:pPr>
      <w:r>
        <w:rPr/>
        <w:t>In terms of knowledge, unless participants had direct experiences with asbestos or have previously had it in a building</w:t>
      </w:r>
      <w:r>
        <w:rPr>
          <w:spacing w:val="-8"/>
        </w:rPr>
        <w:t> </w:t>
      </w:r>
      <w:r>
        <w:rPr/>
        <w:t>they</w:t>
      </w:r>
      <w:r>
        <w:rPr>
          <w:spacing w:val="-8"/>
        </w:rPr>
        <w:t> </w:t>
      </w:r>
      <w:r>
        <w:rPr/>
        <w:t>managed,</w:t>
      </w:r>
      <w:r>
        <w:rPr>
          <w:spacing w:val="-8"/>
        </w:rPr>
        <w:t> </w:t>
      </w:r>
      <w:r>
        <w:rPr/>
        <w:t>this</w:t>
      </w:r>
      <w:r>
        <w:rPr>
          <w:spacing w:val="-8"/>
        </w:rPr>
        <w:t> </w:t>
      </w:r>
      <w:r>
        <w:rPr/>
        <w:t>tended</w:t>
      </w:r>
      <w:r>
        <w:rPr>
          <w:spacing w:val="-8"/>
        </w:rPr>
        <w:t> </w:t>
      </w:r>
      <w:r>
        <w:rPr/>
        <w:t>to</w:t>
      </w:r>
      <w:r>
        <w:rPr>
          <w:spacing w:val="-8"/>
        </w:rPr>
        <w:t> </w:t>
      </w:r>
      <w:r>
        <w:rPr/>
        <w:t>be</w:t>
      </w:r>
      <w:r>
        <w:rPr>
          <w:spacing w:val="-8"/>
        </w:rPr>
        <w:t> </w:t>
      </w:r>
      <w:r>
        <w:rPr/>
        <w:t>top</w:t>
      </w:r>
      <w:r>
        <w:rPr>
          <w:spacing w:val="-8"/>
        </w:rPr>
        <w:t> </w:t>
      </w:r>
      <w:r>
        <w:rPr/>
        <w:t>level</w:t>
      </w:r>
      <w:r>
        <w:rPr>
          <w:spacing w:val="-8"/>
        </w:rPr>
        <w:t> </w:t>
      </w:r>
      <w:r>
        <w:rPr/>
        <w:t>(mostly relating</w:t>
      </w:r>
      <w:r>
        <w:rPr>
          <w:spacing w:val="-17"/>
        </w:rPr>
        <w:t> </w:t>
      </w:r>
      <w:r>
        <w:rPr/>
        <w:t>to</w:t>
      </w:r>
      <w:r>
        <w:rPr>
          <w:spacing w:val="-17"/>
        </w:rPr>
        <w:t> </w:t>
      </w:r>
      <w:r>
        <w:rPr/>
        <w:t>health</w:t>
      </w:r>
      <w:r>
        <w:rPr>
          <w:spacing w:val="-17"/>
        </w:rPr>
        <w:t> </w:t>
      </w:r>
      <w:r>
        <w:rPr/>
        <w:t>implications).</w:t>
      </w:r>
      <w:r>
        <w:rPr>
          <w:spacing w:val="-17"/>
        </w:rPr>
        <w:t> </w:t>
      </w:r>
      <w:r>
        <w:rPr/>
        <w:t>Homeowners</w:t>
      </w:r>
      <w:r>
        <w:rPr>
          <w:spacing w:val="-17"/>
        </w:rPr>
        <w:t> </w:t>
      </w:r>
      <w:r>
        <w:rPr/>
        <w:t>and</w:t>
      </w:r>
      <w:r>
        <w:rPr>
          <w:spacing w:val="-17"/>
        </w:rPr>
        <w:t> </w:t>
      </w:r>
      <w:r>
        <w:rPr/>
        <w:t>property managers were of the belief that asbestos is ‘safe unless disturbed’.</w:t>
      </w:r>
    </w:p>
    <w:p>
      <w:pPr>
        <w:pStyle w:val="BodyText"/>
        <w:spacing w:line="283" w:lineRule="auto" w:before="134"/>
        <w:ind w:left="1700" w:right="-4"/>
      </w:pPr>
      <w:r>
        <w:rPr/>
        <w:t>Their understanding on asbestos had been derived informally from others in the strata or property management</w:t>
      </w:r>
      <w:r>
        <w:rPr>
          <w:spacing w:val="-24"/>
        </w:rPr>
        <w:t> </w:t>
      </w:r>
      <w:r>
        <w:rPr/>
        <w:t>community,</w:t>
      </w:r>
      <w:r>
        <w:rPr>
          <w:spacing w:val="-24"/>
        </w:rPr>
        <w:t> </w:t>
      </w:r>
      <w:r>
        <w:rPr/>
        <w:t>industry</w:t>
      </w:r>
      <w:r>
        <w:rPr>
          <w:spacing w:val="-24"/>
        </w:rPr>
        <w:t> </w:t>
      </w:r>
      <w:r>
        <w:rPr/>
        <w:t>association</w:t>
      </w:r>
      <w:r>
        <w:rPr>
          <w:spacing w:val="-24"/>
        </w:rPr>
        <w:t> </w:t>
      </w:r>
      <w:r>
        <w:rPr/>
        <w:t>newsletters, and the media. There was good awareness in regard to the</w:t>
      </w:r>
      <w:r>
        <w:rPr>
          <w:spacing w:val="-9"/>
        </w:rPr>
        <w:t> </w:t>
      </w:r>
      <w:r>
        <w:rPr/>
        <w:t>need</w:t>
      </w:r>
      <w:r>
        <w:rPr>
          <w:spacing w:val="-9"/>
        </w:rPr>
        <w:t> </w:t>
      </w:r>
      <w:r>
        <w:rPr/>
        <w:t>for</w:t>
      </w:r>
      <w:r>
        <w:rPr>
          <w:spacing w:val="-9"/>
        </w:rPr>
        <w:t> </w:t>
      </w:r>
      <w:r>
        <w:rPr/>
        <w:t>specialist</w:t>
      </w:r>
      <w:r>
        <w:rPr>
          <w:spacing w:val="-9"/>
        </w:rPr>
        <w:t> </w:t>
      </w:r>
      <w:r>
        <w:rPr/>
        <w:t>contractors,</w:t>
      </w:r>
      <w:r>
        <w:rPr>
          <w:spacing w:val="-9"/>
        </w:rPr>
        <w:t> </w:t>
      </w:r>
      <w:r>
        <w:rPr/>
        <w:t>and</w:t>
      </w:r>
      <w:r>
        <w:rPr>
          <w:spacing w:val="-9"/>
        </w:rPr>
        <w:t> </w:t>
      </w:r>
      <w:r>
        <w:rPr/>
        <w:t>all</w:t>
      </w:r>
      <w:r>
        <w:rPr>
          <w:spacing w:val="-9"/>
        </w:rPr>
        <w:t> </w:t>
      </w:r>
      <w:r>
        <w:rPr/>
        <w:t>participants</w:t>
      </w:r>
    </w:p>
    <w:p>
      <w:pPr>
        <w:pStyle w:val="BodyText"/>
        <w:spacing w:line="283" w:lineRule="auto" w:before="99"/>
        <w:ind w:left="189" w:right="1486"/>
      </w:pPr>
      <w:r>
        <w:rPr/>
        <w:br w:type="column"/>
      </w:r>
      <w:r>
        <w:rPr/>
        <w:t>were confident on where to seek information, if required. These</w:t>
      </w:r>
      <w:r>
        <w:rPr>
          <w:spacing w:val="-14"/>
        </w:rPr>
        <w:t> </w:t>
      </w:r>
      <w:r>
        <w:rPr/>
        <w:t>sources</w:t>
      </w:r>
      <w:r>
        <w:rPr>
          <w:spacing w:val="-14"/>
        </w:rPr>
        <w:t> </w:t>
      </w:r>
      <w:r>
        <w:rPr/>
        <w:t>would</w:t>
      </w:r>
      <w:r>
        <w:rPr>
          <w:spacing w:val="-14"/>
        </w:rPr>
        <w:t> </w:t>
      </w:r>
      <w:r>
        <w:rPr/>
        <w:t>include</w:t>
      </w:r>
      <w:r>
        <w:rPr>
          <w:spacing w:val="-14"/>
        </w:rPr>
        <w:t> </w:t>
      </w:r>
      <w:r>
        <w:rPr/>
        <w:t>the</w:t>
      </w:r>
      <w:r>
        <w:rPr>
          <w:spacing w:val="-14"/>
        </w:rPr>
        <w:t> </w:t>
      </w:r>
      <w:r>
        <w:rPr/>
        <w:t>internet,</w:t>
      </w:r>
      <w:r>
        <w:rPr>
          <w:spacing w:val="-14"/>
        </w:rPr>
        <w:t> </w:t>
      </w:r>
      <w:r>
        <w:rPr/>
        <w:t>the</w:t>
      </w:r>
      <w:r>
        <w:rPr>
          <w:spacing w:val="-14"/>
        </w:rPr>
        <w:t> </w:t>
      </w:r>
      <w:r>
        <w:rPr/>
        <w:t>wider</w:t>
      </w:r>
      <w:r>
        <w:rPr>
          <w:spacing w:val="-14"/>
        </w:rPr>
        <w:t> </w:t>
      </w:r>
      <w:r>
        <w:rPr/>
        <w:t>strata community,</w:t>
      </w:r>
      <w:r>
        <w:rPr>
          <w:spacing w:val="-17"/>
        </w:rPr>
        <w:t> </w:t>
      </w:r>
      <w:r>
        <w:rPr/>
        <w:t>tradespeople,</w:t>
      </w:r>
      <w:r>
        <w:rPr>
          <w:spacing w:val="-17"/>
        </w:rPr>
        <w:t> </w:t>
      </w:r>
      <w:r>
        <w:rPr/>
        <w:t>the</w:t>
      </w:r>
      <w:r>
        <w:rPr>
          <w:spacing w:val="-17"/>
        </w:rPr>
        <w:t> </w:t>
      </w:r>
      <w:r>
        <w:rPr/>
        <w:t>workplace</w:t>
      </w:r>
      <w:r>
        <w:rPr>
          <w:spacing w:val="-17"/>
        </w:rPr>
        <w:t> </w:t>
      </w:r>
      <w:r>
        <w:rPr/>
        <w:t>health</w:t>
      </w:r>
      <w:r>
        <w:rPr>
          <w:spacing w:val="-17"/>
        </w:rPr>
        <w:t> </w:t>
      </w:r>
      <w:r>
        <w:rPr/>
        <w:t>and</w:t>
      </w:r>
      <w:r>
        <w:rPr>
          <w:spacing w:val="-17"/>
        </w:rPr>
        <w:t> </w:t>
      </w:r>
      <w:r>
        <w:rPr/>
        <w:t>safety representative</w:t>
      </w:r>
      <w:r>
        <w:rPr>
          <w:spacing w:val="-15"/>
        </w:rPr>
        <w:t> </w:t>
      </w:r>
      <w:r>
        <w:rPr/>
        <w:t>in</w:t>
      </w:r>
      <w:r>
        <w:rPr>
          <w:spacing w:val="-15"/>
        </w:rPr>
        <w:t> </w:t>
      </w:r>
      <w:r>
        <w:rPr/>
        <w:t>their</w:t>
      </w:r>
      <w:r>
        <w:rPr>
          <w:spacing w:val="-15"/>
        </w:rPr>
        <w:t> </w:t>
      </w:r>
      <w:r>
        <w:rPr/>
        <w:t>own</w:t>
      </w:r>
      <w:r>
        <w:rPr>
          <w:spacing w:val="-15"/>
        </w:rPr>
        <w:t> </w:t>
      </w:r>
      <w:r>
        <w:rPr/>
        <w:t>organisation,</w:t>
      </w:r>
      <w:r>
        <w:rPr>
          <w:spacing w:val="-15"/>
        </w:rPr>
        <w:t> </w:t>
      </w:r>
      <w:r>
        <w:rPr/>
        <w:t>and</w:t>
      </w:r>
      <w:r>
        <w:rPr>
          <w:spacing w:val="-15"/>
        </w:rPr>
        <w:t> </w:t>
      </w:r>
      <w:r>
        <w:rPr/>
        <w:t>government sources such as the </w:t>
      </w:r>
      <w:r>
        <w:rPr>
          <w:spacing w:val="-5"/>
        </w:rPr>
        <w:t>EPA </w:t>
      </w:r>
      <w:r>
        <w:rPr/>
        <w:t>and </w:t>
      </w:r>
      <w:r>
        <w:rPr>
          <w:spacing w:val="-3"/>
        </w:rPr>
        <w:t>Fair</w:t>
      </w:r>
      <w:r>
        <w:rPr>
          <w:spacing w:val="-23"/>
        </w:rPr>
        <w:t> </w:t>
      </w:r>
      <w:r>
        <w:rPr/>
        <w:t>Trading.</w:t>
      </w:r>
    </w:p>
    <w:p>
      <w:pPr>
        <w:pStyle w:val="Heading2"/>
        <w:spacing w:before="104"/>
        <w:ind w:left="189"/>
      </w:pPr>
      <w:r>
        <w:rPr>
          <w:w w:val="90"/>
        </w:rPr>
        <w:t>Barriers to removal</w:t>
      </w:r>
    </w:p>
    <w:p>
      <w:pPr>
        <w:pStyle w:val="BodyText"/>
        <w:spacing w:line="283" w:lineRule="auto" w:before="159"/>
        <w:ind w:left="189" w:right="1541"/>
      </w:pPr>
      <w:r>
        <w:rPr/>
        <w:t>The property managers interviewed did not have extensive experience of dealing with asbestos in the properties they managed, therefore their views on why property managers may or may not remove asbestos if found were largely based on second-hand experience and</w:t>
      </w:r>
      <w:r>
        <w:rPr>
          <w:spacing w:val="-14"/>
        </w:rPr>
        <w:t> </w:t>
      </w:r>
      <w:r>
        <w:rPr/>
        <w:t>experiences</w:t>
      </w:r>
      <w:r>
        <w:rPr>
          <w:spacing w:val="-14"/>
        </w:rPr>
        <w:t> </w:t>
      </w:r>
      <w:r>
        <w:rPr/>
        <w:t>with</w:t>
      </w:r>
      <w:r>
        <w:rPr>
          <w:spacing w:val="-14"/>
        </w:rPr>
        <w:t> </w:t>
      </w:r>
      <w:r>
        <w:rPr/>
        <w:t>property</w:t>
      </w:r>
      <w:r>
        <w:rPr>
          <w:spacing w:val="-14"/>
        </w:rPr>
        <w:t> </w:t>
      </w:r>
      <w:r>
        <w:rPr/>
        <w:t>owners</w:t>
      </w:r>
      <w:r>
        <w:rPr>
          <w:spacing w:val="-14"/>
        </w:rPr>
        <w:t> </w:t>
      </w:r>
      <w:r>
        <w:rPr/>
        <w:t>about</w:t>
      </w:r>
      <w:r>
        <w:rPr>
          <w:spacing w:val="-14"/>
        </w:rPr>
        <w:t> </w:t>
      </w:r>
      <w:r>
        <w:rPr/>
        <w:t>other</w:t>
      </w:r>
      <w:r>
        <w:rPr>
          <w:spacing w:val="-14"/>
        </w:rPr>
        <w:t> </w:t>
      </w:r>
      <w:r>
        <w:rPr/>
        <w:t>issues. While some had managed buildings where asbestos had been</w:t>
      </w:r>
      <w:r>
        <w:rPr>
          <w:spacing w:val="-8"/>
        </w:rPr>
        <w:t> </w:t>
      </w:r>
      <w:r>
        <w:rPr/>
        <w:t>found,</w:t>
      </w:r>
      <w:r>
        <w:rPr>
          <w:spacing w:val="-8"/>
        </w:rPr>
        <w:t> </w:t>
      </w:r>
      <w:r>
        <w:rPr/>
        <w:t>it</w:t>
      </w:r>
      <w:r>
        <w:rPr>
          <w:spacing w:val="-8"/>
        </w:rPr>
        <w:t> </w:t>
      </w:r>
      <w:r>
        <w:rPr/>
        <w:t>was</w:t>
      </w:r>
      <w:r>
        <w:rPr>
          <w:spacing w:val="-8"/>
        </w:rPr>
        <w:t> </w:t>
      </w:r>
      <w:r>
        <w:rPr/>
        <w:t>not</w:t>
      </w:r>
      <w:r>
        <w:rPr>
          <w:spacing w:val="-8"/>
        </w:rPr>
        <w:t> </w:t>
      </w:r>
      <w:r>
        <w:rPr/>
        <w:t>a</w:t>
      </w:r>
      <w:r>
        <w:rPr>
          <w:spacing w:val="-8"/>
        </w:rPr>
        <w:t> </w:t>
      </w:r>
      <w:r>
        <w:rPr/>
        <w:t>regular</w:t>
      </w:r>
      <w:r>
        <w:rPr>
          <w:spacing w:val="-8"/>
        </w:rPr>
        <w:t> </w:t>
      </w:r>
      <w:r>
        <w:rPr/>
        <w:t>experience</w:t>
      </w:r>
      <w:r>
        <w:rPr>
          <w:spacing w:val="-8"/>
        </w:rPr>
        <w:t> </w:t>
      </w:r>
      <w:r>
        <w:rPr/>
        <w:t>for</w:t>
      </w:r>
      <w:r>
        <w:rPr>
          <w:spacing w:val="-8"/>
        </w:rPr>
        <w:t> </w:t>
      </w:r>
      <w:r>
        <w:rPr/>
        <w:t>them.</w:t>
      </w:r>
    </w:p>
    <w:p>
      <w:pPr>
        <w:pStyle w:val="BodyText"/>
        <w:spacing w:line="283" w:lineRule="auto" w:before="135"/>
        <w:ind w:left="189" w:right="1399"/>
      </w:pPr>
      <w:r>
        <w:rPr/>
        <w:t>Of the property managers who had experienced the discovery of asbestos in either commercial or residential properties they managed asbestos had not been removed in all cases. In all cases, risk areas had been assessed by a professional</w:t>
      </w:r>
      <w:r>
        <w:rPr>
          <w:spacing w:val="-22"/>
        </w:rPr>
        <w:t> </w:t>
      </w:r>
      <w:r>
        <w:rPr/>
        <w:t>(in-house</w:t>
      </w:r>
      <w:r>
        <w:rPr>
          <w:spacing w:val="-22"/>
        </w:rPr>
        <w:t> </w:t>
      </w:r>
      <w:r>
        <w:rPr/>
        <w:t>or</w:t>
      </w:r>
      <w:r>
        <w:rPr>
          <w:spacing w:val="-22"/>
        </w:rPr>
        <w:t> </w:t>
      </w:r>
      <w:r>
        <w:rPr/>
        <w:t>external).</w:t>
      </w:r>
      <w:r>
        <w:rPr>
          <w:spacing w:val="-22"/>
        </w:rPr>
        <w:t> </w:t>
      </w:r>
      <w:r>
        <w:rPr/>
        <w:t>Where</w:t>
      </w:r>
      <w:r>
        <w:rPr>
          <w:spacing w:val="-22"/>
        </w:rPr>
        <w:t> </w:t>
      </w:r>
      <w:r>
        <w:rPr/>
        <w:t>asbestos</w:t>
      </w:r>
      <w:r>
        <w:rPr>
          <w:spacing w:val="-22"/>
        </w:rPr>
        <w:t> </w:t>
      </w:r>
      <w:r>
        <w:rPr/>
        <w:t>had</w:t>
      </w:r>
      <w:r>
        <w:rPr>
          <w:spacing w:val="-22"/>
        </w:rPr>
        <w:t> </w:t>
      </w:r>
      <w:r>
        <w:rPr/>
        <w:t>not been</w:t>
      </w:r>
      <w:r>
        <w:rPr>
          <w:spacing w:val="-6"/>
        </w:rPr>
        <w:t> </w:t>
      </w:r>
      <w:r>
        <w:rPr/>
        <w:t>removed,</w:t>
      </w:r>
      <w:r>
        <w:rPr>
          <w:spacing w:val="-6"/>
        </w:rPr>
        <w:t> </w:t>
      </w:r>
      <w:r>
        <w:rPr/>
        <w:t>property</w:t>
      </w:r>
      <w:r>
        <w:rPr>
          <w:spacing w:val="-6"/>
        </w:rPr>
        <w:t> </w:t>
      </w:r>
      <w:r>
        <w:rPr/>
        <w:t>owners</w:t>
      </w:r>
      <w:r>
        <w:rPr>
          <w:spacing w:val="-6"/>
        </w:rPr>
        <w:t> </w:t>
      </w:r>
      <w:r>
        <w:rPr/>
        <w:t>had</w:t>
      </w:r>
      <w:r>
        <w:rPr>
          <w:spacing w:val="-6"/>
        </w:rPr>
        <w:t> </w:t>
      </w:r>
      <w:r>
        <w:rPr/>
        <w:t>been</w:t>
      </w:r>
      <w:r>
        <w:rPr>
          <w:spacing w:val="-6"/>
        </w:rPr>
        <w:t> </w:t>
      </w:r>
      <w:r>
        <w:rPr/>
        <w:t>advised</w:t>
      </w:r>
      <w:r>
        <w:rPr>
          <w:spacing w:val="-6"/>
        </w:rPr>
        <w:t> </w:t>
      </w:r>
      <w:r>
        <w:rPr/>
        <w:t>that</w:t>
      </w:r>
    </w:p>
    <w:p>
      <w:pPr>
        <w:pStyle w:val="BodyText"/>
        <w:spacing w:line="283" w:lineRule="auto" w:before="4"/>
        <w:ind w:left="189" w:right="1399"/>
      </w:pPr>
      <w:r>
        <w:rPr/>
        <w:t>it was safe to leave and had subsequently elected not to remove it. Sealing it was generally viewed as an acceptable solution if it was declared safe.</w:t>
      </w:r>
    </w:p>
    <w:p>
      <w:pPr>
        <w:pStyle w:val="BodyText"/>
        <w:spacing w:line="283" w:lineRule="auto" w:before="132"/>
        <w:ind w:left="189" w:right="1399"/>
      </w:pPr>
      <w:r>
        <w:rPr/>
        <w:t>Cost was regarded as the primary barrier to asbestos removal and perceived as being high. Property managers felt that asbestos removal would be very much a commercial decision for owners, rather than a risk-based one. Factors of the total cost would include: the cost of specialist</w:t>
      </w:r>
      <w:r>
        <w:rPr>
          <w:spacing w:val="-13"/>
        </w:rPr>
        <w:t> </w:t>
      </w:r>
      <w:r>
        <w:rPr/>
        <w:t>contractors;</w:t>
      </w:r>
      <w:r>
        <w:rPr>
          <w:spacing w:val="-13"/>
        </w:rPr>
        <w:t> </w:t>
      </w:r>
      <w:r>
        <w:rPr/>
        <w:t>the</w:t>
      </w:r>
      <w:r>
        <w:rPr>
          <w:spacing w:val="-13"/>
        </w:rPr>
        <w:t> </w:t>
      </w:r>
      <w:r>
        <w:rPr/>
        <w:t>cost</w:t>
      </w:r>
      <w:r>
        <w:rPr>
          <w:spacing w:val="-13"/>
        </w:rPr>
        <w:t> </w:t>
      </w:r>
      <w:r>
        <w:rPr/>
        <w:t>of</w:t>
      </w:r>
      <w:r>
        <w:rPr>
          <w:spacing w:val="-13"/>
        </w:rPr>
        <w:t> </w:t>
      </w:r>
      <w:r>
        <w:rPr/>
        <w:t>disposing</w:t>
      </w:r>
      <w:r>
        <w:rPr>
          <w:spacing w:val="-13"/>
        </w:rPr>
        <w:t> </w:t>
      </w:r>
      <w:r>
        <w:rPr/>
        <w:t>of</w:t>
      </w:r>
      <w:r>
        <w:rPr>
          <w:spacing w:val="-13"/>
        </w:rPr>
        <w:t> </w:t>
      </w:r>
      <w:r>
        <w:rPr/>
        <w:t>the</w:t>
      </w:r>
      <w:r>
        <w:rPr>
          <w:spacing w:val="-13"/>
        </w:rPr>
        <w:t> </w:t>
      </w:r>
      <w:r>
        <w:rPr/>
        <w:t>asbestos appropriately;</w:t>
      </w:r>
      <w:r>
        <w:rPr>
          <w:spacing w:val="-20"/>
        </w:rPr>
        <w:t> </w:t>
      </w:r>
      <w:r>
        <w:rPr/>
        <w:t>the</w:t>
      </w:r>
      <w:r>
        <w:rPr>
          <w:spacing w:val="-20"/>
        </w:rPr>
        <w:t> </w:t>
      </w:r>
      <w:r>
        <w:rPr/>
        <w:t>disruption</w:t>
      </w:r>
      <w:r>
        <w:rPr>
          <w:spacing w:val="-20"/>
        </w:rPr>
        <w:t> </w:t>
      </w:r>
      <w:r>
        <w:rPr/>
        <w:t>to</w:t>
      </w:r>
      <w:r>
        <w:rPr>
          <w:spacing w:val="-20"/>
        </w:rPr>
        <w:t> </w:t>
      </w:r>
      <w:r>
        <w:rPr/>
        <w:t>business</w:t>
      </w:r>
      <w:r>
        <w:rPr>
          <w:spacing w:val="-20"/>
        </w:rPr>
        <w:t> </w:t>
      </w:r>
      <w:r>
        <w:rPr/>
        <w:t>for</w:t>
      </w:r>
      <w:r>
        <w:rPr>
          <w:spacing w:val="-20"/>
        </w:rPr>
        <w:t> </w:t>
      </w:r>
      <w:r>
        <w:rPr/>
        <w:t>the</w:t>
      </w:r>
      <w:r>
        <w:rPr>
          <w:spacing w:val="-20"/>
        </w:rPr>
        <w:t> </w:t>
      </w:r>
      <w:r>
        <w:rPr/>
        <w:t>tenant</w:t>
      </w:r>
      <w:r>
        <w:rPr>
          <w:spacing w:val="-20"/>
        </w:rPr>
        <w:t> </w:t>
      </w:r>
      <w:r>
        <w:rPr/>
        <w:t>(the cost</w:t>
      </w:r>
      <w:r>
        <w:rPr>
          <w:spacing w:val="-6"/>
        </w:rPr>
        <w:t> </w:t>
      </w:r>
      <w:r>
        <w:rPr/>
        <w:t>of</w:t>
      </w:r>
      <w:r>
        <w:rPr>
          <w:spacing w:val="-6"/>
        </w:rPr>
        <w:t> </w:t>
      </w:r>
      <w:r>
        <w:rPr/>
        <w:t>which</w:t>
      </w:r>
      <w:r>
        <w:rPr>
          <w:spacing w:val="-6"/>
        </w:rPr>
        <w:t> </w:t>
      </w:r>
      <w:r>
        <w:rPr/>
        <w:t>may</w:t>
      </w:r>
      <w:r>
        <w:rPr>
          <w:spacing w:val="-6"/>
        </w:rPr>
        <w:t> </w:t>
      </w:r>
      <w:r>
        <w:rPr/>
        <w:t>be</w:t>
      </w:r>
      <w:r>
        <w:rPr>
          <w:spacing w:val="-6"/>
        </w:rPr>
        <w:t> </w:t>
      </w:r>
      <w:r>
        <w:rPr/>
        <w:t>passed</w:t>
      </w:r>
      <w:r>
        <w:rPr>
          <w:spacing w:val="-6"/>
        </w:rPr>
        <w:t> </w:t>
      </w:r>
      <w:r>
        <w:rPr/>
        <w:t>on</w:t>
      </w:r>
      <w:r>
        <w:rPr>
          <w:spacing w:val="-6"/>
        </w:rPr>
        <w:t> </w:t>
      </w:r>
      <w:r>
        <w:rPr/>
        <w:t>to</w:t>
      </w:r>
      <w:r>
        <w:rPr>
          <w:spacing w:val="-6"/>
        </w:rPr>
        <w:t> </w:t>
      </w:r>
      <w:r>
        <w:rPr/>
        <w:t>the</w:t>
      </w:r>
      <w:r>
        <w:rPr>
          <w:spacing w:val="-6"/>
        </w:rPr>
        <w:t> </w:t>
      </w:r>
      <w:r>
        <w:rPr/>
        <w:t>owner);</w:t>
      </w:r>
      <w:r>
        <w:rPr>
          <w:spacing w:val="-6"/>
        </w:rPr>
        <w:t> </w:t>
      </w:r>
      <w:r>
        <w:rPr/>
        <w:t>the</w:t>
      </w:r>
      <w:r>
        <w:rPr>
          <w:spacing w:val="-6"/>
        </w:rPr>
        <w:t> </w:t>
      </w:r>
      <w:r>
        <w:rPr/>
        <w:t>loss</w:t>
      </w:r>
    </w:p>
    <w:p>
      <w:pPr>
        <w:pStyle w:val="BodyText"/>
        <w:spacing w:line="283" w:lineRule="auto" w:before="6"/>
        <w:ind w:left="189" w:right="1486"/>
      </w:pPr>
      <w:r>
        <w:rPr/>
        <w:t>of</w:t>
      </w:r>
      <w:r>
        <w:rPr>
          <w:spacing w:val="-13"/>
        </w:rPr>
        <w:t> </w:t>
      </w:r>
      <w:r>
        <w:rPr/>
        <w:t>rental</w:t>
      </w:r>
      <w:r>
        <w:rPr>
          <w:spacing w:val="-13"/>
        </w:rPr>
        <w:t> </w:t>
      </w:r>
      <w:r>
        <w:rPr/>
        <w:t>income</w:t>
      </w:r>
      <w:r>
        <w:rPr>
          <w:spacing w:val="-13"/>
        </w:rPr>
        <w:t> </w:t>
      </w:r>
      <w:r>
        <w:rPr/>
        <w:t>for</w:t>
      </w:r>
      <w:r>
        <w:rPr>
          <w:spacing w:val="-13"/>
        </w:rPr>
        <w:t> </w:t>
      </w:r>
      <w:r>
        <w:rPr/>
        <w:t>a</w:t>
      </w:r>
      <w:r>
        <w:rPr>
          <w:spacing w:val="-13"/>
        </w:rPr>
        <w:t> </w:t>
      </w:r>
      <w:r>
        <w:rPr/>
        <w:t>period;</w:t>
      </w:r>
      <w:r>
        <w:rPr>
          <w:spacing w:val="-13"/>
        </w:rPr>
        <w:t> </w:t>
      </w:r>
      <w:r>
        <w:rPr/>
        <w:t>and</w:t>
      </w:r>
      <w:r>
        <w:rPr>
          <w:spacing w:val="-13"/>
        </w:rPr>
        <w:t> </w:t>
      </w:r>
      <w:r>
        <w:rPr/>
        <w:t>further</w:t>
      </w:r>
      <w:r>
        <w:rPr>
          <w:spacing w:val="-13"/>
        </w:rPr>
        <w:t> </w:t>
      </w:r>
      <w:r>
        <w:rPr/>
        <w:t>inspections</w:t>
      </w:r>
      <w:r>
        <w:rPr>
          <w:spacing w:val="-13"/>
        </w:rPr>
        <w:t> </w:t>
      </w:r>
      <w:r>
        <w:rPr/>
        <w:t>and reporting</w:t>
      </w:r>
      <w:r>
        <w:rPr>
          <w:spacing w:val="-8"/>
        </w:rPr>
        <w:t> </w:t>
      </w:r>
      <w:r>
        <w:rPr/>
        <w:t>of</w:t>
      </w:r>
      <w:r>
        <w:rPr>
          <w:spacing w:val="-8"/>
        </w:rPr>
        <w:t> </w:t>
      </w:r>
      <w:r>
        <w:rPr/>
        <w:t>the</w:t>
      </w:r>
      <w:r>
        <w:rPr>
          <w:spacing w:val="-8"/>
        </w:rPr>
        <w:t> </w:t>
      </w:r>
      <w:r>
        <w:rPr/>
        <w:t>status</w:t>
      </w:r>
      <w:r>
        <w:rPr>
          <w:spacing w:val="-8"/>
        </w:rPr>
        <w:t> </w:t>
      </w:r>
      <w:r>
        <w:rPr/>
        <w:t>of</w:t>
      </w:r>
      <w:r>
        <w:rPr>
          <w:spacing w:val="-8"/>
        </w:rPr>
        <w:t> </w:t>
      </w:r>
      <w:r>
        <w:rPr/>
        <w:t>the</w:t>
      </w:r>
      <w:r>
        <w:rPr>
          <w:spacing w:val="-8"/>
        </w:rPr>
        <w:t> </w:t>
      </w:r>
      <w:r>
        <w:rPr/>
        <w:t>building</w:t>
      </w:r>
      <w:r>
        <w:rPr>
          <w:spacing w:val="-8"/>
        </w:rPr>
        <w:t> </w:t>
      </w:r>
      <w:r>
        <w:rPr/>
        <w:t>after</w:t>
      </w:r>
      <w:r>
        <w:rPr>
          <w:spacing w:val="-8"/>
        </w:rPr>
        <w:t> </w:t>
      </w:r>
      <w:r>
        <w:rPr/>
        <w:t>removal.</w:t>
      </w:r>
    </w:p>
    <w:p>
      <w:pPr>
        <w:pStyle w:val="BodyText"/>
        <w:spacing w:line="283" w:lineRule="auto" w:before="131"/>
        <w:ind w:left="189" w:right="1461"/>
      </w:pPr>
      <w:r>
        <w:rPr/>
        <w:t>Property managers indicated that they would not push owners to remove asbestos in cases where a contractor said it was safe to leave it in place. They also indicated that if property owners decided against asbestos removal, they would not progress the issue unless there was a legal</w:t>
      </w:r>
    </w:p>
    <w:p>
      <w:pPr>
        <w:pStyle w:val="BodyText"/>
        <w:spacing w:line="283" w:lineRule="auto" w:before="3"/>
        <w:ind w:left="189" w:right="1378"/>
      </w:pPr>
      <w:r>
        <w:rPr/>
        <w:t>requirement to do so. Some noted that it would be difficult to make a business case for full precautionary removal of asbestos due to owners’ cost sensitivity.</w:t>
      </w:r>
    </w:p>
    <w:p>
      <w:pPr>
        <w:spacing w:after="0" w:line="283" w:lineRule="auto"/>
        <w:sectPr>
          <w:type w:val="continuous"/>
          <w:pgSz w:w="11910" w:h="16840"/>
          <w:pgMar w:top="1580" w:bottom="280" w:left="0" w:right="0"/>
          <w:cols w:num="2" w:equalWidth="0">
            <w:col w:w="5951" w:space="40"/>
            <w:col w:w="5919"/>
          </w:cols>
        </w:sectPr>
      </w:pPr>
    </w:p>
    <w:p>
      <w:pPr>
        <w:pStyle w:val="Heading1"/>
      </w:pPr>
      <w:r>
        <w:rPr/>
        <w:pict>
          <v:rect style="position:absolute;margin-left:0pt;margin-top:58.181812pt;width:595.276pt;height:7.387974pt;mso-position-horizontal-relative:page;mso-position-vertical-relative:paragraph;z-index:2224" filled="true" fillcolor="#000000" stroked="false">
            <v:fill opacity="49152f" type="solid"/>
            <w10:wrap type="none"/>
          </v:rect>
        </w:pict>
      </w:r>
      <w:r>
        <w:rPr/>
        <w:pict>
          <v:shape style="position:absolute;margin-left:56.693401pt;margin-top:.071813pt;width:21.95pt;height:38.35pt;mso-position-horizontal-relative:page;mso-position-vertical-relative:paragraph;z-index:2248" coordorigin="1134,1" coordsize="439,767" path="m1189,1l1135,56,1463,384,1134,713,1189,768,1572,384,1189,1xe" filled="true" fillcolor="#d71920" stroked="false">
            <v:path arrowok="t"/>
            <v:fill type="solid"/>
            <w10:wrap type="none"/>
          </v:shape>
        </w:pict>
      </w:r>
      <w:r>
        <w:rPr>
          <w:color w:val="1C75BC"/>
          <w:w w:val="80"/>
        </w:rPr>
        <w:t>ENCOURAGING ASBESTOS REMOVAL</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26"/>
        </w:rPr>
      </w:pPr>
    </w:p>
    <w:p>
      <w:pPr>
        <w:spacing w:after="0"/>
        <w:rPr>
          <w:rFonts w:ascii="Arial"/>
          <w:sz w:val="26"/>
        </w:rPr>
        <w:sectPr>
          <w:pgSz w:w="11910" w:h="16840"/>
          <w:pgMar w:top="1540" w:bottom="280" w:left="0" w:right="0"/>
        </w:sectPr>
      </w:pPr>
    </w:p>
    <w:p>
      <w:pPr>
        <w:pStyle w:val="Heading2"/>
      </w:pPr>
      <w:r>
        <w:rPr>
          <w:w w:val="80"/>
        </w:rPr>
        <w:t>Tax offset</w:t>
      </w:r>
    </w:p>
    <w:p>
      <w:pPr>
        <w:pStyle w:val="BodyText"/>
        <w:spacing w:line="283" w:lineRule="auto" w:before="159"/>
        <w:ind w:left="1700" w:right="102"/>
      </w:pPr>
      <w:r>
        <w:rPr/>
        <w:t>Of the suggested initiatives, the tax offset was thought to have the highest potential impact on building owners given its monetary value. The size of the offset was predicted to greatly influence the effectiveness of the initiative and participants felt that the cost of the disruption to businesses would need to be taken into consideration.</w:t>
      </w:r>
    </w:p>
    <w:p>
      <w:pPr>
        <w:pStyle w:val="Heading2"/>
        <w:spacing w:before="104"/>
      </w:pPr>
      <w:r>
        <w:rPr>
          <w:w w:val="90"/>
        </w:rPr>
        <w:t>Targets for removal</w:t>
      </w:r>
    </w:p>
    <w:p>
      <w:pPr>
        <w:pStyle w:val="BodyText"/>
        <w:spacing w:line="283" w:lineRule="auto" w:before="159"/>
        <w:ind w:left="1700" w:right="102"/>
      </w:pPr>
      <w:r>
        <w:rPr/>
        <w:t>While</w:t>
      </w:r>
      <w:r>
        <w:rPr>
          <w:spacing w:val="-18"/>
        </w:rPr>
        <w:t> </w:t>
      </w:r>
      <w:r>
        <w:rPr/>
        <w:t>setting</w:t>
      </w:r>
      <w:r>
        <w:rPr>
          <w:spacing w:val="-18"/>
        </w:rPr>
        <w:t> </w:t>
      </w:r>
      <w:r>
        <w:rPr/>
        <w:t>targets</w:t>
      </w:r>
      <w:r>
        <w:rPr>
          <w:spacing w:val="-18"/>
        </w:rPr>
        <w:t> </w:t>
      </w:r>
      <w:r>
        <w:rPr/>
        <w:t>was</w:t>
      </w:r>
      <w:r>
        <w:rPr>
          <w:spacing w:val="-18"/>
        </w:rPr>
        <w:t> </w:t>
      </w:r>
      <w:r>
        <w:rPr/>
        <w:t>viewed</w:t>
      </w:r>
      <w:r>
        <w:rPr>
          <w:spacing w:val="-18"/>
        </w:rPr>
        <w:t> </w:t>
      </w:r>
      <w:r>
        <w:rPr/>
        <w:t>positively,</w:t>
      </w:r>
      <w:r>
        <w:rPr>
          <w:spacing w:val="-18"/>
        </w:rPr>
        <w:t> </w:t>
      </w:r>
      <w:r>
        <w:rPr/>
        <w:t>commercial building managers did not believe this would be effective in the commercial space in absence of relevant</w:t>
      </w:r>
      <w:r>
        <w:rPr>
          <w:spacing w:val="-15"/>
        </w:rPr>
        <w:t> </w:t>
      </w:r>
      <w:r>
        <w:rPr/>
        <w:t>legislation</w:t>
      </w:r>
      <w:r>
        <w:rPr>
          <w:spacing w:val="-15"/>
        </w:rPr>
        <w:t> </w:t>
      </w:r>
      <w:r>
        <w:rPr/>
        <w:t>(i.e.</w:t>
      </w:r>
      <w:r>
        <w:rPr>
          <w:spacing w:val="-15"/>
        </w:rPr>
        <w:t> </w:t>
      </w:r>
      <w:r>
        <w:rPr/>
        <w:t>without</w:t>
      </w:r>
      <w:r>
        <w:rPr>
          <w:spacing w:val="-15"/>
        </w:rPr>
        <w:t> </w:t>
      </w:r>
      <w:r>
        <w:rPr/>
        <w:t>cost</w:t>
      </w:r>
      <w:r>
        <w:rPr>
          <w:spacing w:val="-15"/>
        </w:rPr>
        <w:t> </w:t>
      </w:r>
      <w:r>
        <w:rPr/>
        <w:t>incentives</w:t>
      </w:r>
      <w:r>
        <w:rPr>
          <w:spacing w:val="-15"/>
        </w:rPr>
        <w:t> </w:t>
      </w:r>
      <w:r>
        <w:rPr/>
        <w:t>or</w:t>
      </w:r>
      <w:r>
        <w:rPr>
          <w:spacing w:val="-15"/>
        </w:rPr>
        <w:t> </w:t>
      </w:r>
      <w:r>
        <w:rPr/>
        <w:t>legal consequences).</w:t>
      </w:r>
      <w:r>
        <w:rPr>
          <w:spacing w:val="-8"/>
        </w:rPr>
        <w:t> </w:t>
      </w:r>
      <w:r>
        <w:rPr/>
        <w:t>Advanced</w:t>
      </w:r>
      <w:r>
        <w:rPr>
          <w:spacing w:val="-8"/>
        </w:rPr>
        <w:t> </w:t>
      </w:r>
      <w:r>
        <w:rPr/>
        <w:t>notice</w:t>
      </w:r>
      <w:r>
        <w:rPr>
          <w:spacing w:val="-8"/>
        </w:rPr>
        <w:t> </w:t>
      </w:r>
      <w:r>
        <w:rPr/>
        <w:t>of</w:t>
      </w:r>
      <w:r>
        <w:rPr>
          <w:spacing w:val="-8"/>
        </w:rPr>
        <w:t> </w:t>
      </w:r>
      <w:r>
        <w:rPr/>
        <w:t>such</w:t>
      </w:r>
      <w:r>
        <w:rPr>
          <w:spacing w:val="-8"/>
        </w:rPr>
        <w:t> </w:t>
      </w:r>
      <w:r>
        <w:rPr/>
        <w:t>a</w:t>
      </w:r>
      <w:r>
        <w:rPr>
          <w:spacing w:val="-8"/>
        </w:rPr>
        <w:t> </w:t>
      </w:r>
      <w:r>
        <w:rPr/>
        <w:t>target</w:t>
      </w:r>
      <w:r>
        <w:rPr>
          <w:spacing w:val="-8"/>
        </w:rPr>
        <w:t> </w:t>
      </w:r>
      <w:r>
        <w:rPr/>
        <w:t>was</w:t>
      </w:r>
    </w:p>
    <w:p>
      <w:pPr>
        <w:pStyle w:val="BodyText"/>
        <w:spacing w:before="4"/>
        <w:ind w:left="1700"/>
      </w:pPr>
      <w:r>
        <w:rPr/>
        <w:t>suggested</w:t>
      </w:r>
      <w:r>
        <w:rPr>
          <w:spacing w:val="-13"/>
        </w:rPr>
        <w:t> </w:t>
      </w:r>
      <w:r>
        <w:rPr/>
        <w:t>in</w:t>
      </w:r>
      <w:r>
        <w:rPr>
          <w:spacing w:val="-13"/>
        </w:rPr>
        <w:t> </w:t>
      </w:r>
      <w:r>
        <w:rPr/>
        <w:t>order</w:t>
      </w:r>
      <w:r>
        <w:rPr>
          <w:spacing w:val="-13"/>
        </w:rPr>
        <w:t> </w:t>
      </w:r>
      <w:r>
        <w:rPr/>
        <w:t>to</w:t>
      </w:r>
      <w:r>
        <w:rPr>
          <w:spacing w:val="-13"/>
        </w:rPr>
        <w:t> </w:t>
      </w:r>
      <w:r>
        <w:rPr/>
        <w:t>maximise</w:t>
      </w:r>
      <w:r>
        <w:rPr>
          <w:spacing w:val="-13"/>
        </w:rPr>
        <w:t> </w:t>
      </w:r>
      <w:r>
        <w:rPr/>
        <w:t>likely</w:t>
      </w:r>
      <w:r>
        <w:rPr>
          <w:spacing w:val="-13"/>
        </w:rPr>
        <w:t> </w:t>
      </w:r>
      <w:r>
        <w:rPr/>
        <w:t>uptake</w:t>
      </w:r>
      <w:r>
        <w:rPr>
          <w:spacing w:val="-13"/>
        </w:rPr>
        <w:t> </w:t>
      </w:r>
      <w:r>
        <w:rPr/>
        <w:t>and</w:t>
      </w:r>
      <w:r>
        <w:rPr>
          <w:spacing w:val="-13"/>
        </w:rPr>
        <w:t> </w:t>
      </w:r>
      <w:r>
        <w:rPr/>
        <w:t>success.</w:t>
      </w:r>
    </w:p>
    <w:p>
      <w:pPr>
        <w:pStyle w:val="Heading2"/>
        <w:ind w:left="319"/>
      </w:pPr>
      <w:r>
        <w:rPr/>
        <w:br w:type="column"/>
      </w:r>
      <w:r>
        <w:rPr>
          <w:w w:val="90"/>
        </w:rPr>
        <w:t>Reduced disposal fees</w:t>
      </w:r>
    </w:p>
    <w:p>
      <w:pPr>
        <w:pStyle w:val="BodyText"/>
        <w:spacing w:line="283" w:lineRule="auto" w:before="159"/>
        <w:ind w:left="319" w:right="1527"/>
      </w:pPr>
      <w:r>
        <w:rPr/>
        <w:t>Commercial property managers felt this initiative had some potential given it relates to a reduction in costs, however some were also doubtful as disposal costs make up only a small fraction of the total removal cost (which as mentioned above, extend beyond removal itself).</w:t>
      </w:r>
    </w:p>
    <w:p>
      <w:pPr>
        <w:pStyle w:val="BodyText"/>
        <w:spacing w:line="283" w:lineRule="auto" w:before="3"/>
        <w:ind w:left="319" w:right="1727"/>
      </w:pPr>
      <w:r>
        <w:rPr/>
        <w:t>Participants also expressed concern over whether cost savings would be passed down from contractors.</w:t>
      </w:r>
    </w:p>
    <w:p>
      <w:pPr>
        <w:pStyle w:val="Heading2"/>
        <w:spacing w:before="101"/>
        <w:ind w:left="319"/>
      </w:pPr>
      <w:r>
        <w:rPr>
          <w:w w:val="90"/>
        </w:rPr>
        <w:t>Participant suggestions</w:t>
      </w:r>
    </w:p>
    <w:p>
      <w:pPr>
        <w:pStyle w:val="BodyText"/>
        <w:spacing w:line="283" w:lineRule="auto" w:before="159"/>
        <w:ind w:left="319" w:right="1744"/>
      </w:pPr>
      <w:r>
        <w:rPr/>
        <w:t>Education campaigns, an information helpline and a ratings system were suggested by property managers. Generally, where an initiative was to be implemented, all participants felt that unless it was tied to legal ramifications, it was not likely to be effective.</w:t>
      </w:r>
    </w:p>
    <w:p>
      <w:pPr>
        <w:spacing w:after="0" w:line="283" w:lineRule="auto"/>
        <w:sectPr>
          <w:type w:val="continuous"/>
          <w:pgSz w:w="11910" w:h="16840"/>
          <w:pgMar w:top="1580" w:bottom="280" w:left="0" w:right="0"/>
          <w:cols w:num="2" w:equalWidth="0">
            <w:col w:w="5821" w:space="40"/>
            <w:col w:w="6049"/>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0"/>
        </w:rPr>
      </w:pPr>
    </w:p>
    <w:p>
      <w:pPr>
        <w:pStyle w:val="BodyText"/>
        <w:ind w:left="623"/>
        <w:rPr>
          <w:sz w:val="20"/>
        </w:rPr>
      </w:pPr>
      <w:r>
        <w:rPr>
          <w:sz w:val="20"/>
        </w:rPr>
        <w:drawing>
          <wp:inline distT="0" distB="0" distL="0" distR="0">
            <wp:extent cx="6736020" cy="4144327"/>
            <wp:effectExtent l="0" t="0" r="0" b="0"/>
            <wp:docPr id="91" name="image33.jpeg" descr=""/>
            <wp:cNvGraphicFramePr>
              <a:graphicFrameLocks noChangeAspect="1"/>
            </wp:cNvGraphicFramePr>
            <a:graphic>
              <a:graphicData uri="http://schemas.openxmlformats.org/drawingml/2006/picture">
                <pic:pic>
                  <pic:nvPicPr>
                    <pic:cNvPr id="92" name="image33.jpeg"/>
                    <pic:cNvPicPr/>
                  </pic:nvPicPr>
                  <pic:blipFill>
                    <a:blip r:embed="rId37" cstate="print"/>
                    <a:stretch>
                      <a:fillRect/>
                    </a:stretch>
                  </pic:blipFill>
                  <pic:spPr>
                    <a:xfrm>
                      <a:off x="0" y="0"/>
                      <a:ext cx="6736020" cy="4144327"/>
                    </a:xfrm>
                    <a:prstGeom prst="rect">
                      <a:avLst/>
                    </a:prstGeom>
                  </pic:spPr>
                </pic:pic>
              </a:graphicData>
            </a:graphic>
          </wp:inline>
        </w:drawing>
      </w:r>
      <w:r>
        <w:rPr>
          <w:sz w:val="20"/>
        </w:rPr>
      </w:r>
    </w:p>
    <w:sectPr>
      <w:type w:val="continuous"/>
      <w:pgSz w:w="11910" w:h="16840"/>
      <w:pgMar w:top="158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en-us"/>
    </w:rPr>
  </w:style>
  <w:style w:styleId="BodyText" w:type="paragraph">
    <w:name w:val="Body Text"/>
    <w:basedOn w:val="Normal"/>
    <w:uiPriority w:val="1"/>
    <w:qFormat/>
    <w:pPr/>
    <w:rPr>
      <w:rFonts w:ascii="Calibri" w:hAnsi="Calibri" w:eastAsia="Calibri" w:cs="Calibri"/>
      <w:sz w:val="18"/>
      <w:szCs w:val="18"/>
      <w:lang w:val="en-us" w:eastAsia="en-us" w:bidi="en-us"/>
    </w:rPr>
  </w:style>
  <w:style w:styleId="Heading1" w:type="paragraph">
    <w:name w:val="Heading 1"/>
    <w:basedOn w:val="Normal"/>
    <w:uiPriority w:val="1"/>
    <w:qFormat/>
    <w:pPr>
      <w:spacing w:before="97"/>
      <w:ind w:left="1711"/>
      <w:outlineLvl w:val="1"/>
    </w:pPr>
    <w:rPr>
      <w:rFonts w:ascii="Arial" w:hAnsi="Arial" w:eastAsia="Arial" w:cs="Arial"/>
      <w:sz w:val="48"/>
      <w:szCs w:val="48"/>
      <w:lang w:val="en-us" w:eastAsia="en-us" w:bidi="en-us"/>
    </w:rPr>
  </w:style>
  <w:style w:styleId="Heading2" w:type="paragraph">
    <w:name w:val="Heading 2"/>
    <w:basedOn w:val="Normal"/>
    <w:uiPriority w:val="1"/>
    <w:qFormat/>
    <w:pPr>
      <w:spacing w:before="97"/>
      <w:ind w:left="1700"/>
      <w:outlineLvl w:val="2"/>
    </w:pPr>
    <w:rPr>
      <w:rFonts w:ascii="Arial" w:hAnsi="Arial" w:eastAsia="Arial" w:cs="Arial"/>
      <w:sz w:val="28"/>
      <w:szCs w:val="28"/>
      <w:lang w:val="en-us" w:eastAsia="en-us" w:bidi="en-us"/>
    </w:rPr>
  </w:style>
  <w:style w:styleId="ListParagraph" w:type="paragraph">
    <w:name w:val="List Paragraph"/>
    <w:basedOn w:val="Normal"/>
    <w:uiPriority w:val="1"/>
    <w:qFormat/>
    <w:pPr/>
    <w:rPr>
      <w:lang w:val="en-us" w:eastAsia="en-us" w:bidi="en-us"/>
    </w:rPr>
  </w:style>
  <w:style w:styleId="TableParagraph" w:type="paragraph">
    <w:name w:val="Table Paragraph"/>
    <w:basedOn w:val="Normal"/>
    <w:uiPriority w:val="1"/>
    <w:qFormat/>
    <w:pPr>
      <w:spacing w:before="92"/>
      <w:jc w:val="center"/>
    </w:pPr>
    <w:rPr>
      <w:rFonts w:ascii="Calibri" w:hAnsi="Calibri" w:eastAsia="Calibri" w:cs="Calibri"/>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2018-06-21T00:52:17Z</dcterms:created>
  <dcterms:modified xsi:type="dcterms:W3CDTF">2018-06-21T00:52:17Z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2018-06-15T00:00:00Z</vt:filetime>
  </property>
  <property fmtid="{D5CDD505-2E9C-101B-9397-08002B2CF9AE}" pid="3" name="Creator">
    <vt:lpwstr>Adobe InDesign CC 13.1 (Macintosh)</vt:lpwstr>
  </property>
  <property fmtid="{D5CDD505-2E9C-101B-9397-08002B2CF9AE}" pid="4" name="LastSaved">
    <vt:filetime>2018-06-21T00:00:00Z</vt:filetime>
  </property>
</Properties>
</file>