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5D" w:rsidRDefault="0080695D" w:rsidP="00650425">
      <w:pPr>
        <w:ind w:left="-567" w:right="-591"/>
        <w:rPr>
          <w:rFonts w:asciiTheme="minorHAnsi" w:hAnsiTheme="minorHAnsi" w:cstheme="minorHAnsi"/>
          <w:b/>
          <w:color w:val="1F497D"/>
          <w:sz w:val="28"/>
        </w:rPr>
      </w:pPr>
      <w:bookmarkStart w:id="0" w:name="_GoBack"/>
      <w:bookmarkEnd w:id="0"/>
      <w:r>
        <w:rPr>
          <w:noProof/>
          <w:lang w:eastAsia="en-AU"/>
        </w:rPr>
        <w:drawing>
          <wp:inline distT="0" distB="0" distL="0" distR="0" wp14:anchorId="1FC8B121" wp14:editId="71400964">
            <wp:extent cx="1943100" cy="387555"/>
            <wp:effectExtent l="0" t="0" r="0" b="0"/>
            <wp:docPr id="291" name="Picture 291" title="Asbestos Safety and Eradi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estos-Safety-and-Eradication-Agency_in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8306" cy="388593"/>
                    </a:xfrm>
                    <a:prstGeom prst="rect">
                      <a:avLst/>
                    </a:prstGeom>
                  </pic:spPr>
                </pic:pic>
              </a:graphicData>
            </a:graphic>
          </wp:inline>
        </w:drawing>
      </w:r>
      <w:r>
        <w:rPr>
          <w:noProof/>
          <w:lang w:eastAsia="en-AU"/>
        </w:rPr>
        <w:t xml:space="preserve">  </w:t>
      </w:r>
      <w:r>
        <w:rPr>
          <w:noProof/>
          <w:lang w:eastAsia="en-AU"/>
        </w:rPr>
        <w:drawing>
          <wp:inline distT="0" distB="0" distL="0" distR="0" wp14:anchorId="40B52954" wp14:editId="00FF59DB">
            <wp:extent cx="1714500" cy="496158"/>
            <wp:effectExtent l="0" t="0" r="0" b="0"/>
            <wp:docPr id="2" name="Picture 2" title="Department of Immigration and Border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704" t="20432" r="76193" b="70191"/>
                    <a:stretch/>
                  </pic:blipFill>
                  <pic:spPr bwMode="auto">
                    <a:xfrm>
                      <a:off x="0" y="0"/>
                      <a:ext cx="1756860" cy="508417"/>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w:drawing>
          <wp:inline distT="0" distB="0" distL="0" distR="0" wp14:anchorId="5F26CDF8" wp14:editId="6EB891C3">
            <wp:extent cx="1645920" cy="502920"/>
            <wp:effectExtent l="0" t="0" r="0" b="0"/>
            <wp:docPr id="4" name="Picture 4" title="Australian Competition and Consumer Commission logo"/>
            <wp:cNvGraphicFramePr/>
            <a:graphic xmlns:a="http://schemas.openxmlformats.org/drawingml/2006/main">
              <a:graphicData uri="http://schemas.openxmlformats.org/drawingml/2006/picture">
                <pic:pic xmlns:pic="http://schemas.openxmlformats.org/drawingml/2006/picture">
                  <pic:nvPicPr>
                    <pic:cNvPr id="1" name="Picture 1" descr="H:\TRIMDATA\TRIM\TEMP\HPTRIM.3532\D13 20220  SCB - ICPS - LOGO - ACCC+GovtCrest_RGB_jpeg.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502920"/>
                    </a:xfrm>
                    <a:prstGeom prst="rect">
                      <a:avLst/>
                    </a:prstGeom>
                    <a:noFill/>
                    <a:ln>
                      <a:noFill/>
                    </a:ln>
                  </pic:spPr>
                </pic:pic>
              </a:graphicData>
            </a:graphic>
          </wp:inline>
        </w:drawing>
      </w:r>
      <w:r>
        <w:rPr>
          <w:noProof/>
          <w:lang w:eastAsia="en-AU"/>
        </w:rPr>
        <w:drawing>
          <wp:inline distT="0" distB="0" distL="0" distR="0" wp14:anchorId="1C6AE16C" wp14:editId="4B56A5C7">
            <wp:extent cx="1866900" cy="464909"/>
            <wp:effectExtent l="0" t="0" r="0" b="0"/>
            <wp:docPr id="3" name="Picture 3" title="Heads of Workplace Safety Author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w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464909"/>
                    </a:xfrm>
                    <a:prstGeom prst="rect">
                      <a:avLst/>
                    </a:prstGeom>
                    <a:noFill/>
                    <a:ln>
                      <a:noFill/>
                    </a:ln>
                  </pic:spPr>
                </pic:pic>
              </a:graphicData>
            </a:graphic>
          </wp:inline>
        </w:drawing>
      </w:r>
    </w:p>
    <w:p w:rsidR="008714F7" w:rsidRPr="007A09A7" w:rsidRDefault="008714F7" w:rsidP="0080695D">
      <w:pPr>
        <w:pStyle w:val="Heading2"/>
        <w:jc w:val="center"/>
        <w:rPr>
          <w:color w:val="002060"/>
        </w:rPr>
      </w:pPr>
      <w:r w:rsidRPr="007A09A7">
        <w:rPr>
          <w:color w:val="002060"/>
        </w:rPr>
        <w:t>Health and Safety Alert</w:t>
      </w:r>
      <w:r w:rsidR="00F0100D">
        <w:rPr>
          <w:color w:val="002060"/>
        </w:rPr>
        <w:t xml:space="preserve"> - </w:t>
      </w:r>
      <w:r w:rsidRPr="007A09A7">
        <w:rPr>
          <w:color w:val="002060"/>
        </w:rPr>
        <w:t>Asbestos in mineral kits</w:t>
      </w:r>
    </w:p>
    <w:p w:rsidR="008714F7" w:rsidRDefault="008714F7" w:rsidP="008714F7"/>
    <w:p w:rsidR="008714F7" w:rsidRDefault="0080695D" w:rsidP="008714F7">
      <w:bookmarkStart w:id="1" w:name="OLE_LINK2"/>
      <w:r>
        <w:t xml:space="preserve">This safety alert is to advise </w:t>
      </w:r>
      <w:r w:rsidR="007A09A7">
        <w:t xml:space="preserve">of the reported </w:t>
      </w:r>
      <w:r w:rsidR="008714F7">
        <w:t>presence of asbestos rock samples contained in some “mineral kits” purchased by schools. These kits have been sold throughout Australia</w:t>
      </w:r>
      <w:r w:rsidR="009E1E02">
        <w:t xml:space="preserve"> and continue to be available for sale on</w:t>
      </w:r>
      <w:r w:rsidR="00E31C12">
        <w:t>line</w:t>
      </w:r>
      <w:r w:rsidR="008714F7">
        <w:t>.</w:t>
      </w:r>
    </w:p>
    <w:p w:rsidR="007D0328" w:rsidRDefault="007D0328" w:rsidP="008714F7"/>
    <w:p w:rsidR="00F214C7" w:rsidRDefault="000C2B87" w:rsidP="00084287">
      <w:pPr>
        <w:rPr>
          <w:b/>
          <w:color w:val="002060"/>
        </w:rPr>
      </w:pPr>
      <w:r>
        <w:rPr>
          <w:b/>
          <w:color w:val="002060"/>
        </w:rPr>
        <w:t>M</w:t>
      </w:r>
      <w:r w:rsidR="00F214C7">
        <w:rPr>
          <w:b/>
          <w:color w:val="002060"/>
        </w:rPr>
        <w:t xml:space="preserve">ineral kits </w:t>
      </w:r>
    </w:p>
    <w:p w:rsidR="007D0328" w:rsidRDefault="00F214C7" w:rsidP="00DA40D4">
      <w:pPr>
        <w:spacing w:after="160"/>
      </w:pPr>
      <w:r>
        <w:t>S</w:t>
      </w:r>
      <w:r w:rsidR="007D0328">
        <w:t>ome mineral kits</w:t>
      </w:r>
      <w:r w:rsidR="00642926">
        <w:t xml:space="preserve"> have been found to contain asbestos under a variety of names, </w:t>
      </w:r>
      <w:r>
        <w:t>including serpentine,</w:t>
      </w:r>
      <w:r w:rsidR="00F0100D">
        <w:t xml:space="preserve"> </w:t>
      </w:r>
      <w:r>
        <w:t>amosite, tremolite</w:t>
      </w:r>
      <w:r w:rsidR="00CE2BD3">
        <w:t xml:space="preserve"> and</w:t>
      </w:r>
      <w:r>
        <w:t xml:space="preserve"> </w:t>
      </w:r>
      <w:r w:rsidR="000C57D3">
        <w:t xml:space="preserve">chrysotile, </w:t>
      </w:r>
      <w:r w:rsidR="000C2B87">
        <w:t xml:space="preserve">occasionally </w:t>
      </w:r>
      <w:r w:rsidR="000C57D3">
        <w:t>referred to by</w:t>
      </w:r>
      <w:r>
        <w:t xml:space="preserve"> </w:t>
      </w:r>
      <w:r w:rsidR="00642926">
        <w:t>the</w:t>
      </w:r>
      <w:r>
        <w:t xml:space="preserve"> name</w:t>
      </w:r>
      <w:r w:rsidR="00642926">
        <w:t xml:space="preserve"> </w:t>
      </w:r>
      <w:r w:rsidR="00476CC2">
        <w:t>of leucotile.</w:t>
      </w:r>
      <w:r w:rsidR="00C47355">
        <w:t xml:space="preserve"> </w:t>
      </w:r>
      <w:r w:rsidR="007D0328">
        <w:t>Some earlier mineral kits (dating from the 1970's) produced by the former Geological Specimen Supplies company may als</w:t>
      </w:r>
      <w:r>
        <w:t xml:space="preserve">o </w:t>
      </w:r>
      <w:r w:rsidR="00605F9B">
        <w:t>contain</w:t>
      </w:r>
      <w:r>
        <w:t xml:space="preserve"> asbestos. </w:t>
      </w:r>
      <w:r w:rsidR="00121760">
        <w:t>T</w:t>
      </w:r>
      <w:r w:rsidR="007D0328">
        <w:t xml:space="preserve">he "Lustre" mineral kits may include the blue asbestos mineral crocidolite </w:t>
      </w:r>
      <w:r w:rsidR="00597003">
        <w:t>as an example of fibrous lustre</w:t>
      </w:r>
      <w:r w:rsidR="007D0328">
        <w:t>.</w:t>
      </w:r>
    </w:p>
    <w:p w:rsidR="00F214C7" w:rsidRDefault="00687CF0" w:rsidP="00F214C7">
      <w:r>
        <w:t xml:space="preserve">Kits </w:t>
      </w:r>
      <w:r w:rsidR="00605F9B">
        <w:t>which contain</w:t>
      </w:r>
      <w:r>
        <w:t xml:space="preserve"> any </w:t>
      </w:r>
      <w:r w:rsidR="00605F9B">
        <w:t xml:space="preserve">of the </w:t>
      </w:r>
      <w:r>
        <w:t>sample</w:t>
      </w:r>
      <w:r w:rsidR="00605F9B">
        <w:t>s</w:t>
      </w:r>
      <w:r>
        <w:t xml:space="preserve"> listed in </w:t>
      </w:r>
      <w:r w:rsidR="00476CC2">
        <w:t>Table 1 should be treated as containing asbestos or other hazardous mineral fibres and withdrawn from use.</w:t>
      </w:r>
    </w:p>
    <w:bookmarkEnd w:id="1"/>
    <w:p w:rsidR="00476CC2" w:rsidRDefault="00476CC2" w:rsidP="00F214C7"/>
    <w:p w:rsidR="00687CF0" w:rsidRDefault="00687CF0" w:rsidP="00687CF0">
      <w:r w:rsidRPr="00687CF0">
        <w:rPr>
          <w:b/>
        </w:rPr>
        <w:t>Table 1</w:t>
      </w:r>
      <w:r>
        <w:t xml:space="preserve"> Names of</w:t>
      </w:r>
      <w:r w:rsidR="001D48A0">
        <w:t xml:space="preserve"> geological samples that are not to be </w:t>
      </w:r>
      <w:r>
        <w:t>purchase</w:t>
      </w:r>
      <w:r w:rsidR="001D48A0">
        <w:t>d</w:t>
      </w:r>
    </w:p>
    <w:tbl>
      <w:tblPr>
        <w:tblStyle w:val="TableGrid"/>
        <w:tblW w:w="0" w:type="auto"/>
        <w:tblLook w:val="04A0" w:firstRow="1" w:lastRow="0" w:firstColumn="1" w:lastColumn="0" w:noHBand="0" w:noVBand="1"/>
      </w:tblPr>
      <w:tblGrid>
        <w:gridCol w:w="3575"/>
        <w:gridCol w:w="1706"/>
        <w:gridCol w:w="1830"/>
        <w:gridCol w:w="3483"/>
        <w:gridCol w:w="88"/>
      </w:tblGrid>
      <w:tr w:rsidR="00687CF0" w:rsidRPr="00384B47" w:rsidTr="00F0100D">
        <w:trPr>
          <w:gridAfter w:val="1"/>
          <w:wAfter w:w="88" w:type="dxa"/>
        </w:trPr>
        <w:tc>
          <w:tcPr>
            <w:tcW w:w="5341" w:type="dxa"/>
            <w:gridSpan w:val="2"/>
          </w:tcPr>
          <w:p w:rsidR="00687CF0" w:rsidRPr="003536F9" w:rsidRDefault="00687CF0" w:rsidP="00F0100D">
            <w:pPr>
              <w:pStyle w:val="ListParagraph"/>
              <w:numPr>
                <w:ilvl w:val="0"/>
                <w:numId w:val="17"/>
              </w:numPr>
              <w:spacing w:before="60" w:after="60"/>
            </w:pPr>
            <w:r w:rsidRPr="003536F9">
              <w:t xml:space="preserve">Asbestos </w:t>
            </w:r>
          </w:p>
        </w:tc>
        <w:tc>
          <w:tcPr>
            <w:tcW w:w="5341" w:type="dxa"/>
            <w:gridSpan w:val="2"/>
          </w:tcPr>
          <w:p w:rsidR="00687CF0" w:rsidRPr="003536F9" w:rsidRDefault="00687CF0" w:rsidP="00F0100D">
            <w:pPr>
              <w:pStyle w:val="ListParagraph"/>
              <w:numPr>
                <w:ilvl w:val="0"/>
                <w:numId w:val="17"/>
              </w:numPr>
              <w:spacing w:before="60" w:after="60"/>
            </w:pPr>
            <w:r w:rsidRPr="003536F9">
              <w:t>Actinolite</w:t>
            </w:r>
          </w:p>
        </w:tc>
      </w:tr>
      <w:tr w:rsidR="00687CF0" w:rsidRPr="00384B47" w:rsidTr="00F0100D">
        <w:trPr>
          <w:gridAfter w:val="1"/>
          <w:wAfter w:w="88" w:type="dxa"/>
        </w:trPr>
        <w:tc>
          <w:tcPr>
            <w:tcW w:w="5341" w:type="dxa"/>
            <w:gridSpan w:val="2"/>
          </w:tcPr>
          <w:p w:rsidR="00687CF0" w:rsidRPr="003536F9" w:rsidRDefault="00687CF0" w:rsidP="00F0100D">
            <w:pPr>
              <w:pStyle w:val="ListParagraph"/>
              <w:numPr>
                <w:ilvl w:val="0"/>
                <w:numId w:val="17"/>
              </w:numPr>
              <w:spacing w:before="60" w:after="60"/>
            </w:pPr>
            <w:r w:rsidRPr="003536F9">
              <w:t xml:space="preserve">Amphibole </w:t>
            </w:r>
          </w:p>
        </w:tc>
        <w:tc>
          <w:tcPr>
            <w:tcW w:w="5341" w:type="dxa"/>
            <w:gridSpan w:val="2"/>
          </w:tcPr>
          <w:p w:rsidR="00687CF0" w:rsidRPr="003536F9" w:rsidRDefault="00687CF0" w:rsidP="00F0100D">
            <w:pPr>
              <w:pStyle w:val="ListParagraph"/>
              <w:numPr>
                <w:ilvl w:val="0"/>
                <w:numId w:val="17"/>
              </w:numPr>
              <w:spacing w:before="60" w:after="60"/>
            </w:pPr>
            <w:r w:rsidRPr="003536F9">
              <w:t>Crocidolite (Blue asbestos/ Riebeckite)</w:t>
            </w:r>
          </w:p>
        </w:tc>
      </w:tr>
      <w:tr w:rsidR="00687CF0" w:rsidRPr="00384B47" w:rsidTr="00F0100D">
        <w:trPr>
          <w:gridAfter w:val="1"/>
          <w:wAfter w:w="88" w:type="dxa"/>
        </w:trPr>
        <w:tc>
          <w:tcPr>
            <w:tcW w:w="5341" w:type="dxa"/>
            <w:gridSpan w:val="2"/>
          </w:tcPr>
          <w:p w:rsidR="00687CF0" w:rsidRPr="003536F9" w:rsidRDefault="00687CF0" w:rsidP="00F0100D">
            <w:pPr>
              <w:pStyle w:val="ListParagraph"/>
              <w:numPr>
                <w:ilvl w:val="0"/>
                <w:numId w:val="17"/>
              </w:numPr>
              <w:spacing w:before="60" w:after="60"/>
            </w:pPr>
            <w:r w:rsidRPr="003536F9">
              <w:t xml:space="preserve">Amosite (grunerite) </w:t>
            </w:r>
          </w:p>
        </w:tc>
        <w:tc>
          <w:tcPr>
            <w:tcW w:w="5341" w:type="dxa"/>
            <w:gridSpan w:val="2"/>
          </w:tcPr>
          <w:p w:rsidR="00687CF0" w:rsidRPr="003536F9" w:rsidRDefault="00687CF0" w:rsidP="00F0100D">
            <w:pPr>
              <w:pStyle w:val="ListParagraph"/>
              <w:numPr>
                <w:ilvl w:val="0"/>
                <w:numId w:val="17"/>
              </w:numPr>
              <w:spacing w:before="60" w:after="60"/>
            </w:pPr>
            <w:r w:rsidRPr="003536F9">
              <w:t>Fibrous zeolite including erionite and offretite</w:t>
            </w:r>
          </w:p>
        </w:tc>
      </w:tr>
      <w:tr w:rsidR="00687CF0" w:rsidRPr="00384B47" w:rsidTr="00F0100D">
        <w:trPr>
          <w:gridAfter w:val="1"/>
          <w:wAfter w:w="88" w:type="dxa"/>
        </w:trPr>
        <w:tc>
          <w:tcPr>
            <w:tcW w:w="5341" w:type="dxa"/>
            <w:gridSpan w:val="2"/>
          </w:tcPr>
          <w:p w:rsidR="00687CF0" w:rsidRPr="003536F9" w:rsidRDefault="00687CF0" w:rsidP="00F0100D">
            <w:pPr>
              <w:pStyle w:val="ListParagraph"/>
              <w:numPr>
                <w:ilvl w:val="0"/>
                <w:numId w:val="17"/>
              </w:numPr>
              <w:spacing w:before="60" w:after="60"/>
            </w:pPr>
            <w:r w:rsidRPr="003536F9">
              <w:t xml:space="preserve">Tremolite </w:t>
            </w:r>
          </w:p>
        </w:tc>
        <w:tc>
          <w:tcPr>
            <w:tcW w:w="5341" w:type="dxa"/>
            <w:gridSpan w:val="2"/>
          </w:tcPr>
          <w:p w:rsidR="00687CF0" w:rsidRPr="003536F9" w:rsidRDefault="00687CF0" w:rsidP="00F0100D">
            <w:pPr>
              <w:pStyle w:val="ListParagraph"/>
              <w:numPr>
                <w:ilvl w:val="0"/>
                <w:numId w:val="17"/>
              </w:numPr>
              <w:spacing w:before="60" w:after="60"/>
            </w:pPr>
            <w:r w:rsidRPr="003536F9">
              <w:t>Richterite</w:t>
            </w:r>
          </w:p>
        </w:tc>
      </w:tr>
      <w:tr w:rsidR="00687CF0" w:rsidRPr="00384B47" w:rsidTr="00F0100D">
        <w:trPr>
          <w:gridAfter w:val="1"/>
          <w:wAfter w:w="88" w:type="dxa"/>
        </w:trPr>
        <w:tc>
          <w:tcPr>
            <w:tcW w:w="5341" w:type="dxa"/>
            <w:gridSpan w:val="2"/>
          </w:tcPr>
          <w:p w:rsidR="00687CF0" w:rsidRPr="003536F9" w:rsidRDefault="00687CF0" w:rsidP="00F0100D">
            <w:pPr>
              <w:pStyle w:val="ListParagraph"/>
              <w:numPr>
                <w:ilvl w:val="0"/>
                <w:numId w:val="17"/>
              </w:numPr>
              <w:spacing w:before="60" w:after="60"/>
            </w:pPr>
            <w:r w:rsidRPr="003536F9">
              <w:t xml:space="preserve">Anthophyllite </w:t>
            </w:r>
          </w:p>
        </w:tc>
        <w:tc>
          <w:tcPr>
            <w:tcW w:w="5341" w:type="dxa"/>
            <w:gridSpan w:val="2"/>
          </w:tcPr>
          <w:p w:rsidR="00687CF0" w:rsidRPr="003536F9" w:rsidRDefault="00687CF0" w:rsidP="00F0100D">
            <w:pPr>
              <w:pStyle w:val="ListParagraph"/>
              <w:numPr>
                <w:ilvl w:val="0"/>
                <w:numId w:val="17"/>
              </w:numPr>
              <w:spacing w:before="60" w:after="60"/>
            </w:pPr>
            <w:r w:rsidRPr="003536F9">
              <w:t>Winchite</w:t>
            </w:r>
          </w:p>
        </w:tc>
      </w:tr>
      <w:tr w:rsidR="00687CF0" w:rsidRPr="00384B47" w:rsidTr="00F0100D">
        <w:trPr>
          <w:gridAfter w:val="1"/>
          <w:wAfter w:w="88" w:type="dxa"/>
        </w:trPr>
        <w:tc>
          <w:tcPr>
            <w:tcW w:w="5341" w:type="dxa"/>
            <w:gridSpan w:val="2"/>
          </w:tcPr>
          <w:p w:rsidR="00687CF0" w:rsidRPr="003536F9" w:rsidRDefault="00687CF0" w:rsidP="00F0100D">
            <w:pPr>
              <w:pStyle w:val="ListParagraph"/>
              <w:numPr>
                <w:ilvl w:val="0"/>
                <w:numId w:val="17"/>
              </w:numPr>
              <w:spacing w:before="60" w:after="60"/>
            </w:pPr>
            <w:r w:rsidRPr="003536F9">
              <w:t>Chrysotile (leucotile/white asbestos/ chrysotile serpentine)</w:t>
            </w:r>
          </w:p>
        </w:tc>
        <w:tc>
          <w:tcPr>
            <w:tcW w:w="5341" w:type="dxa"/>
            <w:gridSpan w:val="2"/>
          </w:tcPr>
          <w:p w:rsidR="00687CF0" w:rsidRPr="003536F9" w:rsidRDefault="00687CF0" w:rsidP="00F0100D">
            <w:pPr>
              <w:pStyle w:val="ListParagraph"/>
              <w:numPr>
                <w:ilvl w:val="0"/>
                <w:numId w:val="17"/>
              </w:numPr>
              <w:spacing w:before="60" w:after="60"/>
            </w:pPr>
            <w:r w:rsidRPr="003536F9">
              <w:t>Serpentine or serpentinite - including lizardite and antigorite serpentines</w:t>
            </w:r>
          </w:p>
        </w:tc>
      </w:tr>
      <w:tr w:rsidR="005D700F" w:rsidTr="001B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91" w:type="dxa"/>
          </w:tcPr>
          <w:p w:rsidR="005D700F" w:rsidRDefault="005D700F" w:rsidP="001B21EB">
            <w:pPr>
              <w:spacing w:before="120" w:after="120"/>
              <w:rPr>
                <w:noProof/>
                <w:lang w:eastAsia="en-AU"/>
              </w:rPr>
            </w:pPr>
            <w:r w:rsidRPr="002F0239">
              <w:rPr>
                <w:b/>
                <w:noProof/>
                <w:sz w:val="16"/>
                <w:lang w:eastAsia="en-AU"/>
              </w:rPr>
              <w:t xml:space="preserve">Figure </w:t>
            </w:r>
            <w:r>
              <w:rPr>
                <w:b/>
                <w:noProof/>
                <w:sz w:val="16"/>
                <w:lang w:eastAsia="en-AU"/>
              </w:rPr>
              <w:t>1</w:t>
            </w:r>
            <w:r>
              <w:rPr>
                <w:noProof/>
                <w:sz w:val="16"/>
                <w:lang w:eastAsia="en-AU"/>
              </w:rPr>
              <w:t xml:space="preserve"> </w:t>
            </w:r>
            <w:r w:rsidRPr="000C5BDF">
              <w:rPr>
                <w:noProof/>
                <w:sz w:val="16"/>
                <w:lang w:eastAsia="en-AU"/>
              </w:rPr>
              <w:t>Example of a kit</w:t>
            </w:r>
            <w:r>
              <w:rPr>
                <w:noProof/>
                <w:sz w:val="16"/>
                <w:lang w:eastAsia="en-AU"/>
              </w:rPr>
              <w:t xml:space="preserve"> found to contain a sample of serpentine</w:t>
            </w:r>
          </w:p>
        </w:tc>
        <w:tc>
          <w:tcPr>
            <w:tcW w:w="3591" w:type="dxa"/>
            <w:gridSpan w:val="2"/>
          </w:tcPr>
          <w:p w:rsidR="005D700F" w:rsidRPr="000C5BDF" w:rsidRDefault="005D700F" w:rsidP="001B21EB">
            <w:pPr>
              <w:spacing w:before="120" w:after="120"/>
              <w:rPr>
                <w:noProof/>
                <w:sz w:val="16"/>
                <w:lang w:eastAsia="en-AU"/>
              </w:rPr>
            </w:pPr>
            <w:r w:rsidRPr="002F0239">
              <w:rPr>
                <w:b/>
                <w:noProof/>
                <w:sz w:val="16"/>
                <w:lang w:eastAsia="en-AU"/>
              </w:rPr>
              <w:t xml:space="preserve">Figure </w:t>
            </w:r>
            <w:r>
              <w:rPr>
                <w:b/>
                <w:noProof/>
                <w:sz w:val="16"/>
                <w:lang w:eastAsia="en-AU"/>
              </w:rPr>
              <w:t>2</w:t>
            </w:r>
            <w:r>
              <w:rPr>
                <w:noProof/>
                <w:sz w:val="16"/>
                <w:lang w:eastAsia="en-AU"/>
              </w:rPr>
              <w:t xml:space="preserve"> </w:t>
            </w:r>
            <w:r w:rsidRPr="000C5BDF">
              <w:rPr>
                <w:noProof/>
                <w:sz w:val="16"/>
                <w:lang w:eastAsia="en-AU"/>
              </w:rPr>
              <w:t>Example of a kit containing leucotile stored in a ziplock bag</w:t>
            </w:r>
          </w:p>
        </w:tc>
        <w:tc>
          <w:tcPr>
            <w:tcW w:w="3592" w:type="dxa"/>
            <w:gridSpan w:val="2"/>
          </w:tcPr>
          <w:p w:rsidR="005D700F" w:rsidRPr="000C5BDF" w:rsidRDefault="005D700F" w:rsidP="003A032C">
            <w:pPr>
              <w:spacing w:before="120" w:after="120"/>
              <w:rPr>
                <w:noProof/>
                <w:sz w:val="16"/>
                <w:lang w:eastAsia="en-AU"/>
              </w:rPr>
            </w:pPr>
            <w:r w:rsidRPr="002F0239">
              <w:rPr>
                <w:b/>
                <w:noProof/>
                <w:sz w:val="16"/>
                <w:lang w:eastAsia="en-AU"/>
              </w:rPr>
              <w:t>Figure 3</w:t>
            </w:r>
            <w:r w:rsidRPr="003A032C">
              <w:rPr>
                <w:b/>
                <w:noProof/>
                <w:sz w:val="16"/>
                <w:lang w:eastAsia="en-AU"/>
              </w:rPr>
              <w:t xml:space="preserve"> </w:t>
            </w:r>
            <w:r w:rsidRPr="003A032C">
              <w:rPr>
                <w:noProof/>
                <w:sz w:val="16"/>
                <w:lang w:eastAsia="en-AU"/>
              </w:rPr>
              <w:t>Example of kit containing samples including: asbestos, serpentine, tremolite and actinolite</w:t>
            </w:r>
          </w:p>
        </w:tc>
      </w:tr>
      <w:tr w:rsidR="005D700F" w:rsidTr="001B2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1"/>
        </w:trPr>
        <w:tc>
          <w:tcPr>
            <w:tcW w:w="3591" w:type="dxa"/>
          </w:tcPr>
          <w:p w:rsidR="005D700F" w:rsidRDefault="005D700F" w:rsidP="001B21EB">
            <w:pPr>
              <w:jc w:val="center"/>
            </w:pPr>
          </w:p>
          <w:p w:rsidR="005D700F" w:rsidRDefault="005D700F" w:rsidP="001B21EB">
            <w:pPr>
              <w:jc w:val="center"/>
            </w:pPr>
            <w:r>
              <w:rPr>
                <w:noProof/>
                <w:lang w:eastAsia="en-AU"/>
              </w:rPr>
              <w:drawing>
                <wp:inline distT="0" distB="0" distL="0" distR="0" wp14:anchorId="22D1B04D" wp14:editId="6165493F">
                  <wp:extent cx="1952624" cy="962025"/>
                  <wp:effectExtent l="0" t="0" r="0" b="0"/>
                  <wp:docPr id="5" name="Picture 5" title="mineral kits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52953" t="2613" r="1553" b="53394"/>
                          <a:stretch/>
                        </pic:blipFill>
                        <pic:spPr bwMode="auto">
                          <a:xfrm>
                            <a:off x="0" y="0"/>
                            <a:ext cx="1956152" cy="963763"/>
                          </a:xfrm>
                          <a:prstGeom prst="rect">
                            <a:avLst/>
                          </a:prstGeom>
                          <a:noFill/>
                          <a:ln>
                            <a:noFill/>
                          </a:ln>
                          <a:effectLst>
                            <a:softEdge rad="12700"/>
                          </a:effectLst>
                          <a:extLst>
                            <a:ext uri="{53640926-AAD7-44D8-BBD7-CCE9431645EC}">
                              <a14:shadowObscured xmlns:a14="http://schemas.microsoft.com/office/drawing/2010/main"/>
                            </a:ext>
                          </a:extLst>
                        </pic:spPr>
                      </pic:pic>
                    </a:graphicData>
                  </a:graphic>
                </wp:inline>
              </w:drawing>
            </w:r>
          </w:p>
        </w:tc>
        <w:tc>
          <w:tcPr>
            <w:tcW w:w="3591" w:type="dxa"/>
            <w:gridSpan w:val="2"/>
          </w:tcPr>
          <w:p w:rsidR="005D700F" w:rsidRDefault="005D700F" w:rsidP="001B21EB">
            <w:pPr>
              <w:jc w:val="center"/>
            </w:pPr>
            <w:r>
              <w:rPr>
                <w:noProof/>
                <w:lang w:eastAsia="en-AU"/>
              </w:rPr>
              <w:drawing>
                <wp:inline distT="0" distB="0" distL="0" distR="0" wp14:anchorId="05B7D679" wp14:editId="78AB989A">
                  <wp:extent cx="1532089" cy="1771650"/>
                  <wp:effectExtent l="0" t="0" r="0" b="0"/>
                  <wp:docPr id="8" name="Picture 8" title="mineral kits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64368" b="19131"/>
                          <a:stretch/>
                        </pic:blipFill>
                        <pic:spPr bwMode="auto">
                          <a:xfrm>
                            <a:off x="0" y="0"/>
                            <a:ext cx="1532089" cy="1771650"/>
                          </a:xfrm>
                          <a:prstGeom prst="rect">
                            <a:avLst/>
                          </a:prstGeom>
                          <a:noFill/>
                          <a:ln>
                            <a:noFill/>
                          </a:ln>
                          <a:effectLst>
                            <a:softEdge rad="12700"/>
                          </a:effectLst>
                          <a:extLst>
                            <a:ext uri="{53640926-AAD7-44D8-BBD7-CCE9431645EC}">
                              <a14:shadowObscured xmlns:a14="http://schemas.microsoft.com/office/drawing/2010/main"/>
                            </a:ext>
                          </a:extLst>
                        </pic:spPr>
                      </pic:pic>
                    </a:graphicData>
                  </a:graphic>
                </wp:inline>
              </w:drawing>
            </w:r>
          </w:p>
        </w:tc>
        <w:tc>
          <w:tcPr>
            <w:tcW w:w="3592" w:type="dxa"/>
            <w:gridSpan w:val="2"/>
          </w:tcPr>
          <w:p w:rsidR="005D700F" w:rsidRDefault="005D700F" w:rsidP="001B21EB">
            <w:pPr>
              <w:jc w:val="center"/>
            </w:pPr>
          </w:p>
          <w:p w:rsidR="005D700F" w:rsidRDefault="005D700F" w:rsidP="001B21EB">
            <w:pPr>
              <w:jc w:val="center"/>
            </w:pPr>
            <w:r>
              <w:rPr>
                <w:noProof/>
                <w:lang w:eastAsia="en-AU"/>
              </w:rPr>
              <w:drawing>
                <wp:inline distT="0" distB="0" distL="0" distR="0" wp14:anchorId="6A0A3212" wp14:editId="242FCC8F">
                  <wp:extent cx="1914525" cy="1110476"/>
                  <wp:effectExtent l="0" t="0" r="0" b="0"/>
                  <wp:docPr id="9" name="Picture 9" title="Geological specimen supplies 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6973" t="49219" r="18419"/>
                          <a:stretch/>
                        </pic:blipFill>
                        <pic:spPr bwMode="auto">
                          <a:xfrm>
                            <a:off x="0" y="0"/>
                            <a:ext cx="1917982" cy="1112481"/>
                          </a:xfrm>
                          <a:prstGeom prst="rect">
                            <a:avLst/>
                          </a:prstGeom>
                          <a:noFill/>
                          <a:ln>
                            <a:noFill/>
                          </a:ln>
                          <a:effectLst>
                            <a:softEdge rad="12700"/>
                          </a:effectLst>
                          <a:extLst>
                            <a:ext uri="{53640926-AAD7-44D8-BBD7-CCE9431645EC}">
                              <a14:shadowObscured xmlns:a14="http://schemas.microsoft.com/office/drawing/2010/main"/>
                            </a:ext>
                          </a:extLst>
                        </pic:spPr>
                      </pic:pic>
                    </a:graphicData>
                  </a:graphic>
                </wp:inline>
              </w:drawing>
            </w:r>
          </w:p>
        </w:tc>
      </w:tr>
    </w:tbl>
    <w:p w:rsidR="003543FD" w:rsidRPr="003543FD" w:rsidRDefault="000C2B87" w:rsidP="00084287">
      <w:pPr>
        <w:rPr>
          <w:b/>
          <w:color w:val="002060"/>
        </w:rPr>
      </w:pPr>
      <w:r>
        <w:rPr>
          <w:b/>
          <w:color w:val="002060"/>
        </w:rPr>
        <w:t>Recommended action</w:t>
      </w:r>
    </w:p>
    <w:p w:rsidR="00384B47" w:rsidRDefault="000C2B87" w:rsidP="00384B47">
      <w:r>
        <w:t>It is suggested that a review of all mineral kits and geological samples be undertaken</w:t>
      </w:r>
      <w:r w:rsidR="00384B47">
        <w:t>.</w:t>
      </w:r>
      <w:r w:rsidR="00321BDB">
        <w:t xml:space="preserve"> Schools are advised to implement the following steps:</w:t>
      </w:r>
    </w:p>
    <w:p w:rsidR="00384B47" w:rsidRDefault="00384B47" w:rsidP="00C47002">
      <w:pPr>
        <w:pStyle w:val="ListParagraph"/>
        <w:numPr>
          <w:ilvl w:val="0"/>
          <w:numId w:val="11"/>
        </w:numPr>
      </w:pPr>
      <w:r>
        <w:t xml:space="preserve">Immediately suspend use of </w:t>
      </w:r>
      <w:r w:rsidR="005D700F">
        <w:t xml:space="preserve">all </w:t>
      </w:r>
      <w:r>
        <w:t>kits or samples</w:t>
      </w:r>
      <w:r w:rsidR="000C2B87">
        <w:t xml:space="preserve"> that have not previously been confirmed as asbestos free</w:t>
      </w:r>
      <w:r>
        <w:t>.</w:t>
      </w:r>
    </w:p>
    <w:p w:rsidR="00384B47" w:rsidRPr="0062736E" w:rsidRDefault="000C2B87" w:rsidP="0062736E">
      <w:pPr>
        <w:pStyle w:val="ListParagraph"/>
        <w:numPr>
          <w:ilvl w:val="0"/>
          <w:numId w:val="5"/>
        </w:numPr>
        <w:ind w:left="1276" w:hanging="352"/>
        <w:rPr>
          <w:rFonts w:cs="Arial"/>
          <w:szCs w:val="22"/>
        </w:rPr>
      </w:pPr>
      <w:r>
        <w:rPr>
          <w:rFonts w:cs="Arial"/>
          <w:szCs w:val="22"/>
        </w:rPr>
        <w:t>F</w:t>
      </w:r>
      <w:r w:rsidR="00384B47" w:rsidRPr="000C57D3">
        <w:rPr>
          <w:rFonts w:cs="Arial"/>
          <w:szCs w:val="22"/>
        </w:rPr>
        <w:t>ollow your school’s safety management plan for</w:t>
      </w:r>
      <w:r w:rsidR="00647C8C">
        <w:rPr>
          <w:rFonts w:cs="Arial"/>
          <w:szCs w:val="22"/>
        </w:rPr>
        <w:t xml:space="preserve"> notification and</w:t>
      </w:r>
      <w:r w:rsidR="00384B47" w:rsidRPr="000C57D3">
        <w:rPr>
          <w:rFonts w:cs="Arial"/>
          <w:szCs w:val="22"/>
        </w:rPr>
        <w:t xml:space="preserve"> dealing with this situation.</w:t>
      </w:r>
    </w:p>
    <w:p w:rsidR="00384B47" w:rsidRDefault="00384B47" w:rsidP="00384B47">
      <w:pPr>
        <w:pStyle w:val="ListParagraph"/>
        <w:numPr>
          <w:ilvl w:val="0"/>
          <w:numId w:val="11"/>
        </w:numPr>
      </w:pPr>
      <w:r>
        <w:t xml:space="preserve">If you </w:t>
      </w:r>
      <w:r w:rsidR="000C2B87">
        <w:t xml:space="preserve">have </w:t>
      </w:r>
      <w:r>
        <w:t xml:space="preserve">the supplier </w:t>
      </w:r>
      <w:r w:rsidR="000C2B87">
        <w:t>details</w:t>
      </w:r>
      <w:r>
        <w:t xml:space="preserve">, contact them to confirm whether your kit/sample contains asbestos or </w:t>
      </w:r>
      <w:r w:rsidR="009B56F5">
        <w:t xml:space="preserve">mineral </w:t>
      </w:r>
      <w:r>
        <w:t xml:space="preserve">talc that may be contaminated with asbestos </w:t>
      </w:r>
      <w:r w:rsidR="005931BC" w:rsidRPr="005931BC">
        <w:t xml:space="preserve">(for </w:t>
      </w:r>
      <w:r w:rsidR="005931BC">
        <w:t>example,</w:t>
      </w:r>
      <w:r w:rsidR="005931BC" w:rsidRPr="005931BC">
        <w:t xml:space="preserve"> ask to see a testing certificate) </w:t>
      </w:r>
      <w:r>
        <w:t xml:space="preserve">and </w:t>
      </w:r>
      <w:r w:rsidR="009C7B3F">
        <w:t>arrange for a return or replacement of the kit/s</w:t>
      </w:r>
      <w:r w:rsidR="000C2B87">
        <w:t>ample if necessary</w:t>
      </w:r>
      <w:r w:rsidR="00C47002">
        <w:t>.</w:t>
      </w:r>
    </w:p>
    <w:p w:rsidR="000C2B87" w:rsidRDefault="000C2B87" w:rsidP="000C2B87">
      <w:pPr>
        <w:pStyle w:val="ListParagraph"/>
        <w:numPr>
          <w:ilvl w:val="0"/>
          <w:numId w:val="11"/>
        </w:numPr>
      </w:pPr>
      <w:r>
        <w:t xml:space="preserve">If the supplier is unknown and you aren’t sure about whether </w:t>
      </w:r>
      <w:r w:rsidR="00875553">
        <w:t>a kit listed in table 1</w:t>
      </w:r>
      <w:r>
        <w:t xml:space="preserve"> contains asbestos, you have the following options: </w:t>
      </w:r>
    </w:p>
    <w:p w:rsidR="000C2B87" w:rsidRDefault="000C2B87" w:rsidP="000C2B87">
      <w:pPr>
        <w:pStyle w:val="ListParagraph"/>
        <w:numPr>
          <w:ilvl w:val="0"/>
          <w:numId w:val="5"/>
        </w:numPr>
        <w:ind w:left="1276" w:hanging="352"/>
      </w:pPr>
      <w:r>
        <w:t xml:space="preserve">Have the sample tested for the presence of asbestos. If confirmed to be asbestos, dispose of the geological samples as asbestos waste; or </w:t>
      </w:r>
    </w:p>
    <w:p w:rsidR="005D700F" w:rsidRDefault="000C2B87" w:rsidP="003C55B3">
      <w:pPr>
        <w:pStyle w:val="ListParagraph"/>
        <w:numPr>
          <w:ilvl w:val="0"/>
          <w:numId w:val="5"/>
        </w:numPr>
        <w:ind w:left="1276" w:hanging="352"/>
      </w:pPr>
      <w:r>
        <w:t>Treat all samples as potentially containing asbestos and dispose of as asbestos waste.</w:t>
      </w:r>
    </w:p>
    <w:p w:rsidR="00321BDB" w:rsidRDefault="00321BDB" w:rsidP="00321BDB">
      <w:pPr>
        <w:pStyle w:val="ListParagraph"/>
        <w:numPr>
          <w:ilvl w:val="0"/>
          <w:numId w:val="11"/>
        </w:numPr>
        <w:rPr>
          <w:rFonts w:cs="Arial"/>
          <w:szCs w:val="22"/>
        </w:rPr>
      </w:pPr>
      <w:r w:rsidRPr="00321BDB">
        <w:rPr>
          <w:rFonts w:cs="Arial"/>
          <w:szCs w:val="22"/>
        </w:rPr>
        <w:t xml:space="preserve">If not </w:t>
      </w:r>
      <w:r w:rsidRPr="00321BDB">
        <w:t>returned</w:t>
      </w:r>
      <w:r w:rsidRPr="00321BDB">
        <w:rPr>
          <w:rFonts w:cs="Arial"/>
          <w:szCs w:val="22"/>
        </w:rPr>
        <w:t xml:space="preserve"> to the supplier, affected products should be taken to an asbestos disposal facility. </w:t>
      </w:r>
      <w:bookmarkStart w:id="2" w:name="OLE_LINK1"/>
      <w:r w:rsidRPr="00321BDB">
        <w:rPr>
          <w:rFonts w:cs="Arial"/>
          <w:szCs w:val="22"/>
        </w:rPr>
        <w:t xml:space="preserve">Your nearest facility can be located using the online tool on the Asbestos Safety and Eradication Agency (ASEA) website: </w:t>
      </w:r>
      <w:hyperlink r:id="rId13" w:history="1">
        <w:r w:rsidRPr="00321BDB">
          <w:rPr>
            <w:rStyle w:val="Hyperlink"/>
            <w:rFonts w:cs="Arial"/>
          </w:rPr>
          <w:t>http://asbestossafety.gov.au/search-disposal-facilities</w:t>
        </w:r>
      </w:hyperlink>
      <w:r w:rsidRPr="00321BDB">
        <w:rPr>
          <w:rFonts w:cs="Arial"/>
          <w:szCs w:val="22"/>
        </w:rPr>
        <w:t xml:space="preserve"> </w:t>
      </w:r>
      <w:bookmarkEnd w:id="2"/>
    </w:p>
    <w:p w:rsidR="005D700F" w:rsidRDefault="005D700F" w:rsidP="003C55B3"/>
    <w:p w:rsidR="005D700F" w:rsidRPr="003C55B3" w:rsidRDefault="005D700F" w:rsidP="00084287">
      <w:pPr>
        <w:rPr>
          <w:b/>
          <w:color w:val="002060"/>
        </w:rPr>
      </w:pPr>
      <w:r w:rsidRPr="003C55B3">
        <w:rPr>
          <w:b/>
          <w:color w:val="002060"/>
        </w:rPr>
        <w:lastRenderedPageBreak/>
        <w:t>Disposal of asbestos waste</w:t>
      </w:r>
    </w:p>
    <w:p w:rsidR="005D700F" w:rsidRDefault="005D700F" w:rsidP="005D700F">
      <w:pPr>
        <w:pStyle w:val="ListParagraph"/>
        <w:numPr>
          <w:ilvl w:val="0"/>
          <w:numId w:val="5"/>
        </w:numPr>
        <w:ind w:left="1276" w:hanging="352"/>
        <w:rPr>
          <w:rFonts w:cs="Arial"/>
          <w:szCs w:val="22"/>
        </w:rPr>
      </w:pPr>
      <w:r w:rsidRPr="00C47002">
        <w:rPr>
          <w:rFonts w:cs="Arial"/>
          <w:szCs w:val="22"/>
        </w:rPr>
        <w:t>In line wit</w:t>
      </w:r>
      <w:r w:rsidRPr="00321BDB">
        <w:t>h</w:t>
      </w:r>
      <w:r w:rsidRPr="00C47002">
        <w:rPr>
          <w:rFonts w:cs="Arial"/>
          <w:szCs w:val="22"/>
        </w:rPr>
        <w:t xml:space="preserve"> </w:t>
      </w:r>
      <w:r w:rsidRPr="00321BDB">
        <w:t>good</w:t>
      </w:r>
      <w:r w:rsidRPr="00C47002">
        <w:rPr>
          <w:rFonts w:cs="Arial"/>
          <w:szCs w:val="22"/>
        </w:rPr>
        <w:t xml:space="preserve"> practice procedures in handling asbestos containing materials, it is recommended that the kits </w:t>
      </w:r>
      <w:r>
        <w:t xml:space="preserve">or individual samples of mineral talc or rocks </w:t>
      </w:r>
      <w:r w:rsidRPr="00C47002">
        <w:rPr>
          <w:rFonts w:cs="Arial"/>
          <w:szCs w:val="22"/>
        </w:rPr>
        <w:t>be placed in a plastic bag, such as a zip lock bag or in the original packaging if possible, for return</w:t>
      </w:r>
      <w:r>
        <w:rPr>
          <w:rFonts w:cs="Arial"/>
          <w:szCs w:val="22"/>
        </w:rPr>
        <w:t xml:space="preserve"> or disposal</w:t>
      </w:r>
      <w:r w:rsidRPr="00C47002">
        <w:rPr>
          <w:rFonts w:cs="Arial"/>
          <w:szCs w:val="22"/>
        </w:rPr>
        <w:t>. If the kit is undisturbed and intact</w:t>
      </w:r>
      <w:r>
        <w:rPr>
          <w:rFonts w:cs="Arial"/>
          <w:szCs w:val="22"/>
        </w:rPr>
        <w:t>,</w:t>
      </w:r>
      <w:r w:rsidRPr="00C47002">
        <w:rPr>
          <w:rFonts w:cs="Arial"/>
          <w:szCs w:val="22"/>
        </w:rPr>
        <w:t xml:space="preserve"> Personal Protective Equipment is not required.</w:t>
      </w:r>
    </w:p>
    <w:p w:rsidR="005D700F" w:rsidRDefault="005D700F" w:rsidP="005D700F">
      <w:pPr>
        <w:pStyle w:val="ListParagraph"/>
        <w:numPr>
          <w:ilvl w:val="0"/>
          <w:numId w:val="5"/>
        </w:numPr>
        <w:ind w:left="1276" w:hanging="352"/>
      </w:pPr>
      <w:r w:rsidRPr="00321BDB">
        <w:t>Kits containing a sample labelled as ‘leucotile’ are being recalled</w:t>
      </w:r>
      <w:r>
        <w:t xml:space="preserve"> on a voluntary basis</w:t>
      </w:r>
      <w:r w:rsidRPr="00321BDB">
        <w:t xml:space="preserve"> by the supplier. Suppliers will manage the recall process directly with schools. The whole kit is to be recalled; not just the leucotile sample.</w:t>
      </w:r>
    </w:p>
    <w:p w:rsidR="00F0100D" w:rsidRDefault="00F0100D" w:rsidP="003C55B3"/>
    <w:p w:rsidR="002D138B" w:rsidRPr="00647C8C" w:rsidRDefault="002D138B" w:rsidP="00647C8C">
      <w:r w:rsidRPr="00647C8C">
        <w:t>Schools should not assume that kits are asbestos free.  Therefore, before purchasing kits or samples, schools should request certification confirming that the product has been tested and does not contain asbestos. Document this instruction for any future acquisitions. Note: a number of suppliers are already providing this certification.</w:t>
      </w:r>
    </w:p>
    <w:p w:rsidR="002D138B" w:rsidRPr="00647C8C" w:rsidRDefault="002D138B" w:rsidP="002D138B"/>
    <w:p w:rsidR="002D138B" w:rsidRPr="00647C8C" w:rsidRDefault="002D138B" w:rsidP="002D138B">
      <w:r w:rsidRPr="00647C8C">
        <w:t>A pre-purchase check should be undertaken for all mineral, geological and ore kits or samples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E664E9" w:rsidRPr="00EA5D04" w:rsidTr="00E664E9">
        <w:tc>
          <w:tcPr>
            <w:tcW w:w="5341" w:type="dxa"/>
          </w:tcPr>
          <w:p w:rsidR="00E664E9" w:rsidRPr="00647C8C" w:rsidRDefault="00E664E9" w:rsidP="00E664E9">
            <w:pPr>
              <w:pStyle w:val="ListParagraph"/>
              <w:numPr>
                <w:ilvl w:val="0"/>
                <w:numId w:val="16"/>
              </w:numPr>
            </w:pPr>
            <w:r w:rsidRPr="00647C8C">
              <w:t>Igneous, metamorphic and sedimentary rock and mineral kits</w:t>
            </w:r>
          </w:p>
        </w:tc>
        <w:tc>
          <w:tcPr>
            <w:tcW w:w="5341" w:type="dxa"/>
          </w:tcPr>
          <w:p w:rsidR="00E664E9" w:rsidRPr="00647C8C" w:rsidRDefault="00E664E9" w:rsidP="00E664E9">
            <w:pPr>
              <w:pStyle w:val="ListParagraph"/>
              <w:numPr>
                <w:ilvl w:val="0"/>
                <w:numId w:val="16"/>
              </w:numPr>
            </w:pPr>
            <w:r w:rsidRPr="00647C8C">
              <w:t>Fluorescence and phosphorescence kits</w:t>
            </w:r>
          </w:p>
          <w:p w:rsidR="003536F9" w:rsidRPr="00647C8C" w:rsidRDefault="003536F9" w:rsidP="00E664E9">
            <w:pPr>
              <w:pStyle w:val="ListParagraph"/>
              <w:numPr>
                <w:ilvl w:val="0"/>
                <w:numId w:val="16"/>
              </w:numPr>
            </w:pPr>
            <w:r w:rsidRPr="00647C8C">
              <w:t>Cleavage kits</w:t>
            </w:r>
          </w:p>
        </w:tc>
      </w:tr>
      <w:tr w:rsidR="00E664E9" w:rsidRPr="00EA5D04" w:rsidTr="00E664E9">
        <w:tc>
          <w:tcPr>
            <w:tcW w:w="5341" w:type="dxa"/>
          </w:tcPr>
          <w:p w:rsidR="00E664E9" w:rsidRPr="00647C8C" w:rsidRDefault="00E664E9" w:rsidP="00E664E9">
            <w:pPr>
              <w:pStyle w:val="ListParagraph"/>
              <w:numPr>
                <w:ilvl w:val="0"/>
                <w:numId w:val="16"/>
              </w:numPr>
            </w:pPr>
            <w:r w:rsidRPr="00647C8C">
              <w:t>Crystal habit kits</w:t>
            </w:r>
          </w:p>
        </w:tc>
        <w:tc>
          <w:tcPr>
            <w:tcW w:w="5341" w:type="dxa"/>
          </w:tcPr>
          <w:p w:rsidR="00E664E9" w:rsidRPr="00647C8C" w:rsidRDefault="003536F9" w:rsidP="00E664E9">
            <w:pPr>
              <w:pStyle w:val="ListParagraph"/>
              <w:numPr>
                <w:ilvl w:val="0"/>
                <w:numId w:val="16"/>
              </w:numPr>
            </w:pPr>
            <w:r w:rsidRPr="00647C8C">
              <w:t>Streak kits</w:t>
            </w:r>
          </w:p>
        </w:tc>
      </w:tr>
      <w:tr w:rsidR="00E664E9" w:rsidRPr="00EA5D04" w:rsidTr="00E664E9">
        <w:tc>
          <w:tcPr>
            <w:tcW w:w="5341" w:type="dxa"/>
          </w:tcPr>
          <w:p w:rsidR="00E664E9" w:rsidRPr="00647C8C" w:rsidRDefault="00E664E9" w:rsidP="00E664E9">
            <w:pPr>
              <w:pStyle w:val="ListParagraph"/>
              <w:numPr>
                <w:ilvl w:val="0"/>
                <w:numId w:val="16"/>
              </w:numPr>
            </w:pPr>
            <w:r w:rsidRPr="00647C8C">
              <w:t>Lustre kits</w:t>
            </w:r>
          </w:p>
        </w:tc>
        <w:tc>
          <w:tcPr>
            <w:tcW w:w="5341" w:type="dxa"/>
          </w:tcPr>
          <w:p w:rsidR="00E664E9" w:rsidRPr="00647C8C" w:rsidRDefault="003536F9" w:rsidP="00E664E9">
            <w:pPr>
              <w:pStyle w:val="ListParagraph"/>
              <w:numPr>
                <w:ilvl w:val="0"/>
                <w:numId w:val="16"/>
              </w:numPr>
            </w:pPr>
            <w:r w:rsidRPr="00647C8C">
              <w:t>Specific gravity kits</w:t>
            </w:r>
          </w:p>
        </w:tc>
      </w:tr>
      <w:tr w:rsidR="00E664E9" w:rsidRPr="00EA5D04" w:rsidTr="00E664E9">
        <w:tc>
          <w:tcPr>
            <w:tcW w:w="5341" w:type="dxa"/>
          </w:tcPr>
          <w:p w:rsidR="00E664E9" w:rsidRPr="00647C8C" w:rsidRDefault="00E664E9" w:rsidP="00E664E9">
            <w:pPr>
              <w:pStyle w:val="ListParagraph"/>
              <w:numPr>
                <w:ilvl w:val="0"/>
                <w:numId w:val="16"/>
              </w:numPr>
            </w:pPr>
            <w:r w:rsidRPr="00647C8C">
              <w:t>(Moh’s) Hardness kits</w:t>
            </w:r>
          </w:p>
        </w:tc>
        <w:tc>
          <w:tcPr>
            <w:tcW w:w="5341" w:type="dxa"/>
          </w:tcPr>
          <w:p w:rsidR="00E664E9" w:rsidRPr="00647C8C" w:rsidRDefault="003536F9" w:rsidP="00E664E9">
            <w:pPr>
              <w:pStyle w:val="ListParagraph"/>
              <w:numPr>
                <w:ilvl w:val="0"/>
                <w:numId w:val="16"/>
              </w:numPr>
            </w:pPr>
            <w:r w:rsidRPr="00647C8C">
              <w:t>Individual geological specimens</w:t>
            </w:r>
          </w:p>
        </w:tc>
      </w:tr>
    </w:tbl>
    <w:p w:rsidR="002D138B" w:rsidRDefault="002D138B" w:rsidP="00343A95">
      <w:pPr>
        <w:rPr>
          <w:highlight w:val="yellow"/>
        </w:rPr>
      </w:pPr>
    </w:p>
    <w:p w:rsidR="002D138B" w:rsidRPr="003C55B3" w:rsidRDefault="002D138B" w:rsidP="00084287">
      <w:pPr>
        <w:rPr>
          <w:b/>
          <w:color w:val="002060"/>
        </w:rPr>
      </w:pPr>
      <w:r w:rsidRPr="003C55B3">
        <w:rPr>
          <w:b/>
          <w:color w:val="002060"/>
        </w:rPr>
        <w:t>Mineral Talc</w:t>
      </w:r>
    </w:p>
    <w:p w:rsidR="002D138B" w:rsidRDefault="002D138B" w:rsidP="002D138B">
      <w:pPr>
        <w:spacing w:after="160"/>
      </w:pPr>
      <w:r>
        <w:t xml:space="preserve">Concern has been raised about the possibility of mineral talc being contaminated with asbestos. </w:t>
      </w:r>
    </w:p>
    <w:p w:rsidR="002D138B" w:rsidRDefault="002D138B" w:rsidP="00084287">
      <w:r>
        <w:t xml:space="preserve">Mineral talc and asbestos minerals can sometimes geologically occur together, and it is possible that mineral talc specimens could be contaminated with some asbestos fibres, however the risk of asbestos contamination from this source is considered to be very low. </w:t>
      </w:r>
    </w:p>
    <w:p w:rsidR="005D700F" w:rsidRPr="003C55B3" w:rsidRDefault="005D700F" w:rsidP="00084287"/>
    <w:p w:rsidR="00F214C7" w:rsidRPr="007A09A7" w:rsidRDefault="00F214C7" w:rsidP="00084287">
      <w:pPr>
        <w:rPr>
          <w:b/>
          <w:color w:val="002060"/>
        </w:rPr>
      </w:pPr>
      <w:r>
        <w:rPr>
          <w:b/>
          <w:color w:val="002060"/>
        </w:rPr>
        <w:t>Risk of exposure to asbestos fibres</w:t>
      </w:r>
    </w:p>
    <w:p w:rsidR="002D138B" w:rsidRPr="00647C8C" w:rsidRDefault="002D138B" w:rsidP="002D138B">
      <w:r w:rsidRPr="00647C8C">
        <w:t>Asbestos may be present in many geological samples in varying physical forms. Table 1 includes fibrous and/or friable forms of asbestos minerals and the chrysotile polymorphs (different forms) of serpentine.</w:t>
      </w:r>
    </w:p>
    <w:p w:rsidR="002D138B" w:rsidRPr="00647C8C" w:rsidRDefault="002D138B" w:rsidP="002D138B"/>
    <w:p w:rsidR="00F214C7" w:rsidRPr="00647C8C" w:rsidRDefault="002D138B" w:rsidP="00084287">
      <w:r w:rsidRPr="00647C8C">
        <w:t>Health risks associated with</w:t>
      </w:r>
      <w:r w:rsidR="00F214C7" w:rsidRPr="00647C8C">
        <w:t xml:space="preserve"> </w:t>
      </w:r>
      <w:r w:rsidRPr="00647C8C">
        <w:t xml:space="preserve">asbestos </w:t>
      </w:r>
      <w:r w:rsidR="00F214C7" w:rsidRPr="00647C8C">
        <w:t xml:space="preserve">exposure </w:t>
      </w:r>
      <w:r w:rsidRPr="00647C8C">
        <w:t>relate to the</w:t>
      </w:r>
      <w:r w:rsidR="00F214C7" w:rsidRPr="00647C8C">
        <w:t xml:space="preserve"> inhalation (breathing in) of fibres. If asbestos material has not been disturbed</w:t>
      </w:r>
      <w:r w:rsidR="00C47355" w:rsidRPr="00647C8C">
        <w:t xml:space="preserve"> it is unlikely to release asbestos fibres. Accordingly</w:t>
      </w:r>
      <w:r w:rsidR="00F214C7" w:rsidRPr="00647C8C">
        <w:t xml:space="preserve">, any potential </w:t>
      </w:r>
      <w:r w:rsidR="00C47355" w:rsidRPr="00647C8C">
        <w:t xml:space="preserve">risk of </w:t>
      </w:r>
      <w:r w:rsidR="00F214C7" w:rsidRPr="00647C8C">
        <w:t>exposure to asbestos is considered to be low.</w:t>
      </w:r>
    </w:p>
    <w:p w:rsidR="00F214C7" w:rsidRPr="00084287" w:rsidRDefault="00F214C7" w:rsidP="00084287">
      <w:pPr>
        <w:rPr>
          <w:b/>
          <w:color w:val="002060"/>
        </w:rPr>
      </w:pPr>
    </w:p>
    <w:p w:rsidR="002D138B" w:rsidRPr="007D0328" w:rsidRDefault="002D138B" w:rsidP="00084287">
      <w:pPr>
        <w:rPr>
          <w:b/>
          <w:color w:val="002060"/>
        </w:rPr>
      </w:pPr>
      <w:r>
        <w:rPr>
          <w:b/>
          <w:color w:val="002060"/>
        </w:rPr>
        <w:t>Testing for asbestos</w:t>
      </w:r>
    </w:p>
    <w:p w:rsidR="00121760" w:rsidRDefault="00647C8C" w:rsidP="00121760">
      <w:pPr>
        <w:rPr>
          <w:b/>
          <w:color w:val="002060"/>
        </w:rPr>
      </w:pPr>
      <w:r>
        <w:t>T</w:t>
      </w:r>
      <w:r w:rsidR="00121760" w:rsidRPr="00ED3568">
        <w:t>esting can confirm whether the material contains asbestos or not.</w:t>
      </w:r>
      <w:r w:rsidR="00121760" w:rsidRPr="00EC33A7">
        <w:t xml:space="preserve"> </w:t>
      </w:r>
      <w:r w:rsidR="00EC33A7" w:rsidRPr="00EC33A7">
        <w:t xml:space="preserve">It is recommended that a </w:t>
      </w:r>
      <w:hyperlink r:id="rId14" w:tgtFrame="_blank" w:history="1">
        <w:r w:rsidR="00233270">
          <w:rPr>
            <w:rStyle w:val="Emphasis"/>
            <w:color w:val="0000FF"/>
            <w:u w:val="single"/>
            <w:lang w:val="en"/>
          </w:rPr>
          <w:t>National Association of Testing Authorities</w:t>
        </w:r>
      </w:hyperlink>
      <w:r w:rsidR="00233270">
        <w:rPr>
          <w:lang w:val="en"/>
        </w:rPr>
        <w:t> </w:t>
      </w:r>
      <w:r w:rsidR="00233270" w:rsidRPr="00EC33A7" w:rsidDel="00233270">
        <w:t xml:space="preserve"> </w:t>
      </w:r>
      <w:r w:rsidR="00EC33A7" w:rsidRPr="00EC33A7">
        <w:t>(NATA) accredited laboratory</w:t>
      </w:r>
      <w:r w:rsidR="00875553">
        <w:t xml:space="preserve"> be used. </w:t>
      </w:r>
      <w:r w:rsidR="00875553" w:rsidRPr="00875553">
        <w:t>The Australian Standard AS 4964 Method for the Qualitative identification of asbestos in bulk samples may be used or an equivalent method.  Some non-NATA laboratories may also be able to undertake testing according to AS 4964 if a NATA laboratory is not readily available.</w:t>
      </w:r>
    </w:p>
    <w:p w:rsidR="00875553" w:rsidRDefault="00875553" w:rsidP="00343A95">
      <w:pPr>
        <w:rPr>
          <w:b/>
          <w:color w:val="002060"/>
        </w:rPr>
      </w:pPr>
    </w:p>
    <w:p w:rsidR="009C1630" w:rsidRPr="009C1630" w:rsidRDefault="009C1630" w:rsidP="00084287">
      <w:pPr>
        <w:rPr>
          <w:b/>
          <w:color w:val="002060"/>
        </w:rPr>
      </w:pPr>
      <w:r w:rsidRPr="009C1630">
        <w:rPr>
          <w:b/>
          <w:color w:val="002060"/>
        </w:rPr>
        <w:t>Stopping goo</w:t>
      </w:r>
      <w:r>
        <w:rPr>
          <w:b/>
          <w:color w:val="002060"/>
        </w:rPr>
        <w:t>ds with asbestos from entering A</w:t>
      </w:r>
      <w:r w:rsidRPr="009C1630">
        <w:rPr>
          <w:b/>
          <w:color w:val="002060"/>
        </w:rPr>
        <w:t xml:space="preserve">ustralia </w:t>
      </w:r>
    </w:p>
    <w:p w:rsidR="009C1630" w:rsidRDefault="009C1630" w:rsidP="009C1630">
      <w:r w:rsidRPr="009C1630">
        <w:t xml:space="preserve">The Department of Immigration and Border Protection and the Australian Border Force (ABF) continue to target entities, including particular manufacturers and certain import and distribution companies, both overseas and in Australia at risk of importing products likely to contain asbestos. </w:t>
      </w:r>
    </w:p>
    <w:p w:rsidR="009C1630" w:rsidRPr="009C1630" w:rsidRDefault="009C1630" w:rsidP="009C1630"/>
    <w:p w:rsidR="009C1630" w:rsidRPr="009C1630" w:rsidRDefault="009C1630" w:rsidP="009C1630">
      <w:r w:rsidRPr="009C1630">
        <w:t>Any information about imported products of concern can be reported to the Department of Immigration and Border Protection on 1800 009 623. Concerns about products available in retail shops or questions about the handling of products that have been found to contain asbestos should be addressed to the relevant State/Territory workplace health and safety authority.</w:t>
      </w:r>
    </w:p>
    <w:p w:rsidR="00875553" w:rsidRDefault="00875553" w:rsidP="00343A95">
      <w:pPr>
        <w:rPr>
          <w:b/>
          <w:color w:val="002060"/>
        </w:rPr>
      </w:pPr>
    </w:p>
    <w:p w:rsidR="00343A95" w:rsidRPr="00E664E9" w:rsidRDefault="00343A95" w:rsidP="00084287">
      <w:pPr>
        <w:rPr>
          <w:b/>
          <w:color w:val="002060"/>
        </w:rPr>
      </w:pPr>
      <w:r w:rsidRPr="00E664E9">
        <w:rPr>
          <w:b/>
          <w:color w:val="002060"/>
        </w:rPr>
        <w:t>Further information</w:t>
      </w:r>
    </w:p>
    <w:p w:rsidR="000E5492" w:rsidRDefault="00343A95" w:rsidP="000E5492">
      <w:r>
        <w:t>Gen</w:t>
      </w:r>
      <w:r w:rsidR="001D48A0">
        <w:t xml:space="preserve">eral information about </w:t>
      </w:r>
      <w:r w:rsidR="00E664E9">
        <w:t xml:space="preserve">how to manage and control asbestos in the workplace </w:t>
      </w:r>
      <w:r>
        <w:t xml:space="preserve">is </w:t>
      </w:r>
      <w:r w:rsidR="00647C8C">
        <w:t xml:space="preserve">available on </w:t>
      </w:r>
      <w:r w:rsidR="00647C8C" w:rsidRPr="009E1E02">
        <w:rPr>
          <w:rFonts w:cs="Arial"/>
          <w:szCs w:val="22"/>
        </w:rPr>
        <w:t xml:space="preserve">your </w:t>
      </w:r>
      <w:hyperlink r:id="rId15" w:history="1">
        <w:r w:rsidR="00647C8C" w:rsidRPr="003C55B3">
          <w:rPr>
            <w:rStyle w:val="Hyperlink"/>
            <w:rFonts w:cs="Arial"/>
            <w:szCs w:val="22"/>
          </w:rPr>
          <w:t>State or Territory work health and safety regulator</w:t>
        </w:r>
      </w:hyperlink>
      <w:r w:rsidR="00647C8C">
        <w:rPr>
          <w:rFonts w:cs="Arial"/>
          <w:szCs w:val="22"/>
        </w:rPr>
        <w:t xml:space="preserve"> website or</w:t>
      </w:r>
      <w:r>
        <w:t xml:space="preserve"> the </w:t>
      </w:r>
      <w:r w:rsidR="00E664E9">
        <w:t xml:space="preserve">Safe Work Australia website </w:t>
      </w:r>
      <w:r>
        <w:t xml:space="preserve">at: </w:t>
      </w:r>
    </w:p>
    <w:p w:rsidR="00343A95" w:rsidRDefault="009307B3" w:rsidP="00343A95">
      <w:pPr>
        <w:rPr>
          <w:rStyle w:val="Hyperlink"/>
          <w:color w:val="auto"/>
          <w:u w:val="none"/>
        </w:rPr>
      </w:pPr>
      <w:hyperlink r:id="rId16" w:history="1">
        <w:r w:rsidR="000E5492">
          <w:rPr>
            <w:rStyle w:val="Hyperlink"/>
          </w:rPr>
          <w:t>http://www.safeworkaustralia.gov.au/sites/swa/whs-information/asbestos/pages/asbestos</w:t>
        </w:r>
      </w:hyperlink>
      <w:r w:rsidR="00647C8C">
        <w:rPr>
          <w:rStyle w:val="Hyperlink"/>
          <w:color w:val="auto"/>
          <w:u w:val="none"/>
        </w:rPr>
        <w:t>.</w:t>
      </w:r>
    </w:p>
    <w:p w:rsidR="00084287" w:rsidRDefault="00084287" w:rsidP="00343A95">
      <w:pPr>
        <w:rPr>
          <w:rStyle w:val="Hyperlink"/>
          <w:color w:val="auto"/>
          <w:u w:val="none"/>
        </w:rPr>
      </w:pPr>
    </w:p>
    <w:p w:rsidR="00084287" w:rsidRPr="0026422C" w:rsidRDefault="00084287" w:rsidP="00084287">
      <w:pPr>
        <w:jc w:val="both"/>
        <w:rPr>
          <w:rFonts w:asciiTheme="minorHAnsi" w:hAnsiTheme="minorHAnsi" w:cstheme="minorHAnsi"/>
          <w:sz w:val="16"/>
        </w:rPr>
      </w:pPr>
      <w:r w:rsidRPr="00C86D09">
        <w:rPr>
          <w:rFonts w:asciiTheme="minorHAnsi" w:hAnsiTheme="minorHAnsi" w:cstheme="minorHAnsi"/>
          <w:sz w:val="16"/>
        </w:rPr>
        <w:t xml:space="preserve">This </w:t>
      </w:r>
      <w:r>
        <w:rPr>
          <w:rFonts w:asciiTheme="minorHAnsi" w:hAnsiTheme="minorHAnsi" w:cstheme="minorHAnsi"/>
          <w:sz w:val="16"/>
        </w:rPr>
        <w:t>Alert h</w:t>
      </w:r>
      <w:r w:rsidRPr="00C86D09">
        <w:rPr>
          <w:rFonts w:asciiTheme="minorHAnsi" w:hAnsiTheme="minorHAnsi" w:cstheme="minorHAnsi"/>
          <w:sz w:val="16"/>
        </w:rPr>
        <w:t>as been developed by the Heads of Workplace Safety Authorities (HWSA) Imported Materials with Asbestos Working Group, whose membership comprises representatives from:</w:t>
      </w:r>
      <w:r>
        <w:rPr>
          <w:rFonts w:asciiTheme="minorHAnsi" w:hAnsiTheme="minorHAnsi" w:cstheme="minorHAnsi"/>
          <w:sz w:val="16"/>
        </w:rPr>
        <w:t xml:space="preserve"> </w:t>
      </w:r>
      <w:r w:rsidRPr="00C86D09">
        <w:rPr>
          <w:rFonts w:asciiTheme="minorHAnsi" w:hAnsiTheme="minorHAnsi" w:cstheme="minorHAnsi"/>
          <w:sz w:val="16"/>
        </w:rPr>
        <w:t>Asbestos Safety and Eradication Agency</w:t>
      </w:r>
      <w:r>
        <w:rPr>
          <w:rFonts w:asciiTheme="minorHAnsi" w:hAnsiTheme="minorHAnsi" w:cstheme="minorHAnsi"/>
          <w:sz w:val="16"/>
        </w:rPr>
        <w:t xml:space="preserve">, </w:t>
      </w:r>
      <w:r w:rsidRPr="00C86D09">
        <w:rPr>
          <w:rFonts w:asciiTheme="minorHAnsi" w:hAnsiTheme="minorHAnsi" w:cstheme="minorHAnsi"/>
          <w:sz w:val="16"/>
        </w:rPr>
        <w:t>Workplace Health and Safety Queensland</w:t>
      </w:r>
      <w:r>
        <w:rPr>
          <w:rFonts w:asciiTheme="minorHAnsi" w:hAnsiTheme="minorHAnsi" w:cstheme="minorHAnsi"/>
          <w:sz w:val="16"/>
        </w:rPr>
        <w:t xml:space="preserve">, </w:t>
      </w:r>
      <w:r w:rsidRPr="00C86D09">
        <w:rPr>
          <w:rFonts w:asciiTheme="minorHAnsi" w:hAnsiTheme="minorHAnsi" w:cstheme="minorHAnsi"/>
          <w:sz w:val="16"/>
        </w:rPr>
        <w:t>Australian Competition &amp; Consumer Commission</w:t>
      </w:r>
      <w:r>
        <w:rPr>
          <w:rFonts w:asciiTheme="minorHAnsi" w:hAnsiTheme="minorHAnsi" w:cstheme="minorHAnsi"/>
          <w:sz w:val="16"/>
        </w:rPr>
        <w:t xml:space="preserve">, </w:t>
      </w:r>
      <w:r w:rsidRPr="00C86D09">
        <w:rPr>
          <w:rFonts w:asciiTheme="minorHAnsi" w:hAnsiTheme="minorHAnsi" w:cstheme="minorHAnsi"/>
          <w:sz w:val="16"/>
        </w:rPr>
        <w:t>WorkSafe Australian Capital Territory</w:t>
      </w:r>
      <w:r>
        <w:rPr>
          <w:rFonts w:asciiTheme="minorHAnsi" w:hAnsiTheme="minorHAnsi" w:cstheme="minorHAnsi"/>
          <w:sz w:val="16"/>
        </w:rPr>
        <w:t xml:space="preserve">, </w:t>
      </w:r>
      <w:r w:rsidRPr="00C86D09">
        <w:rPr>
          <w:rFonts w:asciiTheme="minorHAnsi" w:hAnsiTheme="minorHAnsi" w:cstheme="minorHAnsi"/>
          <w:sz w:val="16"/>
        </w:rPr>
        <w:t>Department of Immigration and Border Protection</w:t>
      </w:r>
      <w:r>
        <w:rPr>
          <w:rFonts w:asciiTheme="minorHAnsi" w:hAnsiTheme="minorHAnsi" w:cstheme="minorHAnsi"/>
          <w:sz w:val="16"/>
        </w:rPr>
        <w:t xml:space="preserve">, </w:t>
      </w:r>
      <w:r w:rsidRPr="00C86D09">
        <w:rPr>
          <w:rFonts w:asciiTheme="minorHAnsi" w:hAnsiTheme="minorHAnsi" w:cstheme="minorHAnsi"/>
          <w:sz w:val="16"/>
        </w:rPr>
        <w:t>NT</w:t>
      </w:r>
      <w:r w:rsidRPr="00084287">
        <w:rPr>
          <w:rFonts w:asciiTheme="minorHAnsi" w:hAnsiTheme="minorHAnsi" w:cstheme="minorHAnsi"/>
          <w:sz w:val="16"/>
        </w:rPr>
        <w:t xml:space="preserve"> </w:t>
      </w:r>
      <w:r w:rsidRPr="00C86D09">
        <w:rPr>
          <w:rFonts w:asciiTheme="minorHAnsi" w:hAnsiTheme="minorHAnsi" w:cstheme="minorHAnsi"/>
          <w:sz w:val="16"/>
        </w:rPr>
        <w:t>WorkSafe</w:t>
      </w:r>
      <w:r>
        <w:rPr>
          <w:rFonts w:asciiTheme="minorHAnsi" w:hAnsiTheme="minorHAnsi" w:cstheme="minorHAnsi"/>
          <w:sz w:val="16"/>
        </w:rPr>
        <w:t xml:space="preserve">, </w:t>
      </w:r>
      <w:r w:rsidRPr="00C86D09">
        <w:rPr>
          <w:rFonts w:asciiTheme="minorHAnsi" w:hAnsiTheme="minorHAnsi" w:cstheme="minorHAnsi"/>
          <w:sz w:val="16"/>
        </w:rPr>
        <w:t>SafeWork SA</w:t>
      </w:r>
      <w:r>
        <w:rPr>
          <w:rFonts w:asciiTheme="minorHAnsi" w:hAnsiTheme="minorHAnsi" w:cstheme="minorHAnsi"/>
          <w:sz w:val="16"/>
        </w:rPr>
        <w:t xml:space="preserve">, </w:t>
      </w:r>
      <w:r w:rsidRPr="00C86D09">
        <w:rPr>
          <w:rFonts w:asciiTheme="minorHAnsi" w:hAnsiTheme="minorHAnsi" w:cstheme="minorHAnsi"/>
          <w:sz w:val="16"/>
        </w:rPr>
        <w:t>WorkSafe Tasmania</w:t>
      </w:r>
      <w:r>
        <w:rPr>
          <w:rFonts w:asciiTheme="minorHAnsi" w:hAnsiTheme="minorHAnsi" w:cstheme="minorHAnsi"/>
          <w:sz w:val="16"/>
        </w:rPr>
        <w:t xml:space="preserve">, </w:t>
      </w:r>
      <w:r w:rsidRPr="00C86D09">
        <w:rPr>
          <w:rFonts w:asciiTheme="minorHAnsi" w:hAnsiTheme="minorHAnsi" w:cstheme="minorHAnsi"/>
          <w:sz w:val="16"/>
        </w:rPr>
        <w:t>Safe Work Australia</w:t>
      </w:r>
      <w:r>
        <w:rPr>
          <w:rFonts w:asciiTheme="minorHAnsi" w:hAnsiTheme="minorHAnsi" w:cstheme="minorHAnsi"/>
          <w:sz w:val="16"/>
        </w:rPr>
        <w:t xml:space="preserve">, </w:t>
      </w:r>
      <w:r w:rsidRPr="00C86D09">
        <w:rPr>
          <w:rFonts w:asciiTheme="minorHAnsi" w:hAnsiTheme="minorHAnsi" w:cstheme="minorHAnsi"/>
          <w:sz w:val="16"/>
        </w:rPr>
        <w:t>Work</w:t>
      </w:r>
      <w:r>
        <w:rPr>
          <w:rFonts w:asciiTheme="minorHAnsi" w:hAnsiTheme="minorHAnsi" w:cstheme="minorHAnsi"/>
          <w:sz w:val="16"/>
        </w:rPr>
        <w:t>Safe Victoria, Safe Work</w:t>
      </w:r>
      <w:r w:rsidRPr="00C86D09">
        <w:rPr>
          <w:rFonts w:asciiTheme="minorHAnsi" w:hAnsiTheme="minorHAnsi" w:cstheme="minorHAnsi"/>
          <w:sz w:val="16"/>
        </w:rPr>
        <w:t xml:space="preserve"> NSW</w:t>
      </w:r>
      <w:r>
        <w:rPr>
          <w:rFonts w:asciiTheme="minorHAnsi" w:hAnsiTheme="minorHAnsi" w:cstheme="minorHAnsi"/>
          <w:sz w:val="16"/>
        </w:rPr>
        <w:t xml:space="preserve">, </w:t>
      </w:r>
      <w:r w:rsidRPr="00C86D09">
        <w:rPr>
          <w:rFonts w:asciiTheme="minorHAnsi" w:hAnsiTheme="minorHAnsi" w:cstheme="minorHAnsi"/>
          <w:sz w:val="16"/>
        </w:rPr>
        <w:t>WorkSafe Western Australia</w:t>
      </w:r>
      <w:r>
        <w:rPr>
          <w:rFonts w:asciiTheme="minorHAnsi" w:hAnsiTheme="minorHAnsi" w:cstheme="minorHAnsi"/>
          <w:sz w:val="16"/>
        </w:rPr>
        <w:t>.</w:t>
      </w:r>
    </w:p>
    <w:p w:rsidR="00084287" w:rsidRPr="009E1E02" w:rsidRDefault="00084287" w:rsidP="00343A95">
      <w:pPr>
        <w:rPr>
          <w:rFonts w:cs="Arial"/>
          <w:color w:val="1F497D"/>
        </w:rPr>
      </w:pPr>
    </w:p>
    <w:sectPr w:rsidR="00084287" w:rsidRPr="009E1E02" w:rsidSect="00084287">
      <w:footerReference w:type="default" r:id="rId17"/>
      <w:pgSz w:w="11906" w:h="16838" w:code="9"/>
      <w:pgMar w:top="426" w:right="720" w:bottom="567" w:left="720" w:header="286" w:footer="2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99" w:rsidRDefault="00AA7999" w:rsidP="00C47355">
      <w:r>
        <w:separator/>
      </w:r>
    </w:p>
  </w:endnote>
  <w:endnote w:type="continuationSeparator" w:id="0">
    <w:p w:rsidR="00AA7999" w:rsidRDefault="00AA7999" w:rsidP="00C4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287" w:rsidRDefault="00084287" w:rsidP="00084287">
    <w:pPr>
      <w:pStyle w:val="Footer"/>
      <w:jc w:val="right"/>
    </w:pPr>
    <w:r>
      <w:t>November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99" w:rsidRDefault="00AA7999" w:rsidP="00C47355">
      <w:r>
        <w:separator/>
      </w:r>
    </w:p>
  </w:footnote>
  <w:footnote w:type="continuationSeparator" w:id="0">
    <w:p w:rsidR="00AA7999" w:rsidRDefault="00AA7999" w:rsidP="00C47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0A5"/>
    <w:multiLevelType w:val="hybridMultilevel"/>
    <w:tmpl w:val="9FD410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C63644"/>
    <w:multiLevelType w:val="hybridMultilevel"/>
    <w:tmpl w:val="121E46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D7472"/>
    <w:multiLevelType w:val="hybridMultilevel"/>
    <w:tmpl w:val="E9A87998"/>
    <w:lvl w:ilvl="0" w:tplc="7B4A6A28">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F54CE2"/>
    <w:multiLevelType w:val="hybridMultilevel"/>
    <w:tmpl w:val="C62E7EF2"/>
    <w:lvl w:ilvl="0" w:tplc="33440E0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D6E83"/>
    <w:multiLevelType w:val="hybridMultilevel"/>
    <w:tmpl w:val="D79652DE"/>
    <w:lvl w:ilvl="0" w:tplc="7A8848F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E2E9C"/>
    <w:multiLevelType w:val="hybridMultilevel"/>
    <w:tmpl w:val="86529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85B5578"/>
    <w:multiLevelType w:val="hybridMultilevel"/>
    <w:tmpl w:val="980EE248"/>
    <w:lvl w:ilvl="0" w:tplc="BBD2039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F10EE3"/>
    <w:multiLevelType w:val="hybridMultilevel"/>
    <w:tmpl w:val="2ECCAFAC"/>
    <w:lvl w:ilvl="0" w:tplc="AFCCA6E6">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0B5368"/>
    <w:multiLevelType w:val="hybridMultilevel"/>
    <w:tmpl w:val="08560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AC2A79"/>
    <w:multiLevelType w:val="hybridMultilevel"/>
    <w:tmpl w:val="214EF3D6"/>
    <w:lvl w:ilvl="0" w:tplc="33440E0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8D17CE"/>
    <w:multiLevelType w:val="hybridMultilevel"/>
    <w:tmpl w:val="04268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3906CE"/>
    <w:multiLevelType w:val="multilevel"/>
    <w:tmpl w:val="EE409334"/>
    <w:lvl w:ilvl="0">
      <w:start w:val="1"/>
      <w:numFmt w:val="decimal"/>
      <w:lvlText w:val="%1."/>
      <w:lvlJc w:val="left"/>
      <w:pPr>
        <w:ind w:left="930" w:hanging="57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2E43ACD"/>
    <w:multiLevelType w:val="multilevel"/>
    <w:tmpl w:val="EE409334"/>
    <w:lvl w:ilvl="0">
      <w:start w:val="1"/>
      <w:numFmt w:val="decimal"/>
      <w:lvlText w:val="%1."/>
      <w:lvlJc w:val="left"/>
      <w:pPr>
        <w:ind w:left="930" w:hanging="57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4EB6077"/>
    <w:multiLevelType w:val="hybridMultilevel"/>
    <w:tmpl w:val="2662D364"/>
    <w:lvl w:ilvl="0" w:tplc="7A8848F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5F0D6F"/>
    <w:multiLevelType w:val="hybridMultilevel"/>
    <w:tmpl w:val="13144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BE5B8E"/>
    <w:multiLevelType w:val="multilevel"/>
    <w:tmpl w:val="FFF289B2"/>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F8B7E8C"/>
    <w:multiLevelType w:val="hybridMultilevel"/>
    <w:tmpl w:val="923E02F0"/>
    <w:lvl w:ilvl="0" w:tplc="0C090001">
      <w:start w:val="1"/>
      <w:numFmt w:val="bullet"/>
      <w:lvlText w:val=""/>
      <w:lvlJc w:val="left"/>
      <w:pPr>
        <w:ind w:left="1080" w:hanging="360"/>
      </w:pPr>
      <w:rPr>
        <w:rFonts w:ascii="Symbol" w:hAnsi="Symbol" w:hint="default"/>
      </w:rPr>
    </w:lvl>
    <w:lvl w:ilvl="1" w:tplc="0C09000B">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B97273E"/>
    <w:multiLevelType w:val="hybridMultilevel"/>
    <w:tmpl w:val="E6107C6A"/>
    <w:lvl w:ilvl="0" w:tplc="2BEAF7E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684BCF"/>
    <w:multiLevelType w:val="hybridMultilevel"/>
    <w:tmpl w:val="01DCD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0"/>
  </w:num>
  <w:num w:numId="3">
    <w:abstractNumId w:val="14"/>
  </w:num>
  <w:num w:numId="4">
    <w:abstractNumId w:val="3"/>
  </w:num>
  <w:num w:numId="5">
    <w:abstractNumId w:val="16"/>
  </w:num>
  <w:num w:numId="6">
    <w:abstractNumId w:val="1"/>
  </w:num>
  <w:num w:numId="7">
    <w:abstractNumId w:val="9"/>
  </w:num>
  <w:num w:numId="8">
    <w:abstractNumId w:val="17"/>
  </w:num>
  <w:num w:numId="9">
    <w:abstractNumId w:val="13"/>
  </w:num>
  <w:num w:numId="10">
    <w:abstractNumId w:val="15"/>
  </w:num>
  <w:num w:numId="11">
    <w:abstractNumId w:val="12"/>
  </w:num>
  <w:num w:numId="12">
    <w:abstractNumId w:val="6"/>
  </w:num>
  <w:num w:numId="13">
    <w:abstractNumId w:val="2"/>
  </w:num>
  <w:num w:numId="14">
    <w:abstractNumId w:val="7"/>
  </w:num>
  <w:num w:numId="15">
    <w:abstractNumId w:val="4"/>
  </w:num>
  <w:num w:numId="16">
    <w:abstractNumId w:val="10"/>
  </w:num>
  <w:num w:numId="17">
    <w:abstractNumId w:val="8"/>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3B"/>
    <w:rsid w:val="000568BA"/>
    <w:rsid w:val="00084287"/>
    <w:rsid w:val="00090E55"/>
    <w:rsid w:val="000C2B87"/>
    <w:rsid w:val="000C57D3"/>
    <w:rsid w:val="000C5BDF"/>
    <w:rsid w:val="000E5492"/>
    <w:rsid w:val="00121760"/>
    <w:rsid w:val="0012605E"/>
    <w:rsid w:val="001D48A0"/>
    <w:rsid w:val="001E2D47"/>
    <w:rsid w:val="00222EB6"/>
    <w:rsid w:val="0022411F"/>
    <w:rsid w:val="00233270"/>
    <w:rsid w:val="002D138B"/>
    <w:rsid w:val="002F0239"/>
    <w:rsid w:val="00321BDB"/>
    <w:rsid w:val="00343A95"/>
    <w:rsid w:val="003536F9"/>
    <w:rsid w:val="003543FD"/>
    <w:rsid w:val="00384B47"/>
    <w:rsid w:val="003A032C"/>
    <w:rsid w:val="003C55B3"/>
    <w:rsid w:val="00440E02"/>
    <w:rsid w:val="00476CC2"/>
    <w:rsid w:val="004D030E"/>
    <w:rsid w:val="00520E9D"/>
    <w:rsid w:val="005219AC"/>
    <w:rsid w:val="005931BC"/>
    <w:rsid w:val="00597003"/>
    <w:rsid w:val="005D236C"/>
    <w:rsid w:val="005D5025"/>
    <w:rsid w:val="005D700F"/>
    <w:rsid w:val="005F1FE5"/>
    <w:rsid w:val="00605F9B"/>
    <w:rsid w:val="0062736E"/>
    <w:rsid w:val="00642926"/>
    <w:rsid w:val="00643F28"/>
    <w:rsid w:val="00647C8C"/>
    <w:rsid w:val="00650425"/>
    <w:rsid w:val="00687CF0"/>
    <w:rsid w:val="00715A5D"/>
    <w:rsid w:val="00726FE5"/>
    <w:rsid w:val="00737AB0"/>
    <w:rsid w:val="007A09A7"/>
    <w:rsid w:val="007D0328"/>
    <w:rsid w:val="0080695D"/>
    <w:rsid w:val="008714F7"/>
    <w:rsid w:val="00875553"/>
    <w:rsid w:val="00907D8E"/>
    <w:rsid w:val="009307B3"/>
    <w:rsid w:val="00950361"/>
    <w:rsid w:val="00957E2F"/>
    <w:rsid w:val="009B56F5"/>
    <w:rsid w:val="009C1630"/>
    <w:rsid w:val="009C7B3F"/>
    <w:rsid w:val="009E1E02"/>
    <w:rsid w:val="009F6DB4"/>
    <w:rsid w:val="00A35BAC"/>
    <w:rsid w:val="00AA7999"/>
    <w:rsid w:val="00B4410E"/>
    <w:rsid w:val="00BE1100"/>
    <w:rsid w:val="00BF1F04"/>
    <w:rsid w:val="00C44070"/>
    <w:rsid w:val="00C47002"/>
    <w:rsid w:val="00C47355"/>
    <w:rsid w:val="00CB76F2"/>
    <w:rsid w:val="00CE2BD3"/>
    <w:rsid w:val="00CE6C7E"/>
    <w:rsid w:val="00D923D7"/>
    <w:rsid w:val="00DA40D4"/>
    <w:rsid w:val="00E0153B"/>
    <w:rsid w:val="00E31C12"/>
    <w:rsid w:val="00E65DE5"/>
    <w:rsid w:val="00E664E9"/>
    <w:rsid w:val="00EA5D04"/>
    <w:rsid w:val="00EC33A7"/>
    <w:rsid w:val="00ED3568"/>
    <w:rsid w:val="00F0100D"/>
    <w:rsid w:val="00F0154D"/>
    <w:rsid w:val="00F214C7"/>
    <w:rsid w:val="00F47294"/>
    <w:rsid w:val="00F61107"/>
    <w:rsid w:val="00FC7ECE"/>
    <w:rsid w:val="00FD1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6CDF8BE3-79FA-4B43-BB58-4F28FF2D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8714F7"/>
    <w:pPr>
      <w:ind w:left="720"/>
      <w:contextualSpacing/>
    </w:pPr>
  </w:style>
  <w:style w:type="paragraph" w:styleId="BalloonText">
    <w:name w:val="Balloon Text"/>
    <w:basedOn w:val="Normal"/>
    <w:link w:val="BalloonTextChar"/>
    <w:uiPriority w:val="99"/>
    <w:semiHidden/>
    <w:unhideWhenUsed/>
    <w:rsid w:val="00343A95"/>
    <w:rPr>
      <w:rFonts w:ascii="Tahoma" w:hAnsi="Tahoma" w:cs="Tahoma"/>
      <w:sz w:val="16"/>
      <w:szCs w:val="16"/>
    </w:rPr>
  </w:style>
  <w:style w:type="character" w:customStyle="1" w:styleId="BalloonTextChar">
    <w:name w:val="Balloon Text Char"/>
    <w:basedOn w:val="DefaultParagraphFont"/>
    <w:link w:val="BalloonText"/>
    <w:uiPriority w:val="99"/>
    <w:semiHidden/>
    <w:rsid w:val="00343A95"/>
    <w:rPr>
      <w:rFonts w:ascii="Tahoma" w:hAnsi="Tahoma" w:cs="Tahoma"/>
      <w:sz w:val="16"/>
      <w:szCs w:val="16"/>
      <w:lang w:eastAsia="en-US"/>
    </w:rPr>
  </w:style>
  <w:style w:type="character" w:styleId="Hyperlink">
    <w:name w:val="Hyperlink"/>
    <w:basedOn w:val="DefaultParagraphFont"/>
    <w:uiPriority w:val="99"/>
    <w:unhideWhenUsed/>
    <w:rsid w:val="003543FD"/>
    <w:rPr>
      <w:color w:val="0000FF" w:themeColor="hyperlink"/>
      <w:u w:val="single"/>
    </w:rPr>
  </w:style>
  <w:style w:type="table" w:styleId="TableGrid">
    <w:name w:val="Table Grid"/>
    <w:basedOn w:val="TableNormal"/>
    <w:uiPriority w:val="59"/>
    <w:rsid w:val="00687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4B47"/>
    <w:rPr>
      <w:color w:val="800080" w:themeColor="followedHyperlink"/>
      <w:u w:val="single"/>
    </w:rPr>
  </w:style>
  <w:style w:type="character" w:styleId="CommentReference">
    <w:name w:val="annotation reference"/>
    <w:basedOn w:val="DefaultParagraphFont"/>
    <w:uiPriority w:val="99"/>
    <w:semiHidden/>
    <w:unhideWhenUsed/>
    <w:rsid w:val="00642926"/>
    <w:rPr>
      <w:sz w:val="16"/>
      <w:szCs w:val="16"/>
    </w:rPr>
  </w:style>
  <w:style w:type="paragraph" w:styleId="CommentText">
    <w:name w:val="annotation text"/>
    <w:basedOn w:val="Normal"/>
    <w:link w:val="CommentTextChar"/>
    <w:uiPriority w:val="99"/>
    <w:semiHidden/>
    <w:unhideWhenUsed/>
    <w:rsid w:val="00642926"/>
    <w:rPr>
      <w:sz w:val="20"/>
    </w:rPr>
  </w:style>
  <w:style w:type="character" w:customStyle="1" w:styleId="CommentTextChar">
    <w:name w:val="Comment Text Char"/>
    <w:basedOn w:val="DefaultParagraphFont"/>
    <w:link w:val="CommentText"/>
    <w:uiPriority w:val="99"/>
    <w:semiHidden/>
    <w:rsid w:val="0064292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42926"/>
    <w:rPr>
      <w:b/>
      <w:bCs/>
    </w:rPr>
  </w:style>
  <w:style w:type="character" w:customStyle="1" w:styleId="CommentSubjectChar">
    <w:name w:val="Comment Subject Char"/>
    <w:basedOn w:val="CommentTextChar"/>
    <w:link w:val="CommentSubject"/>
    <w:uiPriority w:val="99"/>
    <w:semiHidden/>
    <w:rsid w:val="00642926"/>
    <w:rPr>
      <w:rFonts w:ascii="Arial" w:hAnsi="Arial"/>
      <w:b/>
      <w:bCs/>
      <w:lang w:eastAsia="en-US"/>
    </w:rPr>
  </w:style>
  <w:style w:type="paragraph" w:styleId="Header">
    <w:name w:val="header"/>
    <w:basedOn w:val="Normal"/>
    <w:link w:val="HeaderChar"/>
    <w:uiPriority w:val="99"/>
    <w:unhideWhenUsed/>
    <w:rsid w:val="00C47355"/>
    <w:pPr>
      <w:tabs>
        <w:tab w:val="center" w:pos="4513"/>
        <w:tab w:val="right" w:pos="9026"/>
      </w:tabs>
    </w:pPr>
  </w:style>
  <w:style w:type="character" w:customStyle="1" w:styleId="HeaderChar">
    <w:name w:val="Header Char"/>
    <w:basedOn w:val="DefaultParagraphFont"/>
    <w:link w:val="Header"/>
    <w:uiPriority w:val="99"/>
    <w:rsid w:val="00C47355"/>
    <w:rPr>
      <w:rFonts w:ascii="Arial" w:hAnsi="Arial"/>
      <w:sz w:val="22"/>
      <w:lang w:eastAsia="en-US"/>
    </w:rPr>
  </w:style>
  <w:style w:type="paragraph" w:styleId="Footer">
    <w:name w:val="footer"/>
    <w:basedOn w:val="Normal"/>
    <w:link w:val="FooterChar"/>
    <w:uiPriority w:val="99"/>
    <w:unhideWhenUsed/>
    <w:rsid w:val="00C47355"/>
    <w:pPr>
      <w:tabs>
        <w:tab w:val="center" w:pos="4513"/>
        <w:tab w:val="right" w:pos="9026"/>
      </w:tabs>
    </w:pPr>
  </w:style>
  <w:style w:type="character" w:customStyle="1" w:styleId="FooterChar">
    <w:name w:val="Footer Char"/>
    <w:basedOn w:val="DefaultParagraphFont"/>
    <w:link w:val="Footer"/>
    <w:uiPriority w:val="99"/>
    <w:rsid w:val="00C47355"/>
    <w:rPr>
      <w:rFonts w:ascii="Arial" w:hAnsi="Arial"/>
      <w:sz w:val="22"/>
      <w:lang w:eastAsia="en-US"/>
    </w:rPr>
  </w:style>
  <w:style w:type="character" w:customStyle="1" w:styleId="lexicon-term">
    <w:name w:val="lexicon-term"/>
    <w:basedOn w:val="DefaultParagraphFont"/>
    <w:rsid w:val="0062736E"/>
    <w:rPr>
      <w:strike w:val="0"/>
      <w:dstrike w:val="0"/>
      <w:u w:val="none"/>
      <w:effect w:val="none"/>
    </w:rPr>
  </w:style>
  <w:style w:type="character" w:styleId="Emphasis">
    <w:name w:val="Emphasis"/>
    <w:basedOn w:val="DefaultParagraphFont"/>
    <w:uiPriority w:val="20"/>
    <w:qFormat/>
    <w:rsid w:val="0062736E"/>
    <w:rPr>
      <w:i/>
      <w:iCs/>
    </w:rPr>
  </w:style>
  <w:style w:type="paragraph" w:styleId="PlainText">
    <w:name w:val="Plain Text"/>
    <w:basedOn w:val="Normal"/>
    <w:link w:val="PlainTextChar"/>
    <w:uiPriority w:val="99"/>
    <w:semiHidden/>
    <w:unhideWhenUsed/>
    <w:rsid w:val="00875553"/>
    <w:rPr>
      <w:rFonts w:ascii="Courier New" w:hAnsi="Courier New" w:cs="Courier New"/>
      <w:sz w:val="20"/>
      <w:szCs w:val="22"/>
      <w:lang w:eastAsia="en-AU"/>
    </w:rPr>
  </w:style>
  <w:style w:type="character" w:customStyle="1" w:styleId="PlainTextChar">
    <w:name w:val="Plain Text Char"/>
    <w:basedOn w:val="DefaultParagraphFont"/>
    <w:link w:val="PlainText"/>
    <w:uiPriority w:val="99"/>
    <w:semiHidden/>
    <w:rsid w:val="00875553"/>
    <w:rPr>
      <w:rFonts w:ascii="Courier New" w:hAnsi="Courier New" w:cs="Courier New"/>
      <w:szCs w:val="22"/>
    </w:rPr>
  </w:style>
  <w:style w:type="paragraph" w:customStyle="1" w:styleId="Default">
    <w:name w:val="Default"/>
    <w:basedOn w:val="Normal"/>
    <w:uiPriority w:val="99"/>
    <w:rsid w:val="009C1630"/>
    <w:pPr>
      <w:autoSpaceDE w:val="0"/>
      <w:autoSpaceDN w:val="0"/>
    </w:pPr>
    <w:rPr>
      <w:rFonts w:ascii="Calibri" w:eastAsiaTheme="minorHAns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8921">
      <w:bodyDiv w:val="1"/>
      <w:marLeft w:val="0"/>
      <w:marRight w:val="0"/>
      <w:marTop w:val="0"/>
      <w:marBottom w:val="0"/>
      <w:divBdr>
        <w:top w:val="none" w:sz="0" w:space="0" w:color="auto"/>
        <w:left w:val="none" w:sz="0" w:space="0" w:color="auto"/>
        <w:bottom w:val="none" w:sz="0" w:space="0" w:color="auto"/>
        <w:right w:val="none" w:sz="0" w:space="0" w:color="auto"/>
      </w:divBdr>
    </w:div>
    <w:div w:id="443965411">
      <w:bodyDiv w:val="1"/>
      <w:marLeft w:val="0"/>
      <w:marRight w:val="0"/>
      <w:marTop w:val="0"/>
      <w:marBottom w:val="0"/>
      <w:divBdr>
        <w:top w:val="none" w:sz="0" w:space="0" w:color="auto"/>
        <w:left w:val="none" w:sz="0" w:space="0" w:color="auto"/>
        <w:bottom w:val="none" w:sz="0" w:space="0" w:color="auto"/>
        <w:right w:val="none" w:sz="0" w:space="0" w:color="auto"/>
      </w:divBdr>
    </w:div>
    <w:div w:id="6553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sbestossafety.gov.au/search-disposal-facilit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feworkaustralia.gov.au/sites/swa/whs-information/asbestos/pages/asbest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asbestossafety.gov.au/organisation-link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ta.com.au/n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D970-C80A-41CD-B20B-1E40D242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6C048E8F.dotm</Template>
  <TotalTime>0</TotalTime>
  <Pages>3</Pages>
  <Words>1092</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Arquero</dc:creator>
  <cp:lastModifiedBy>KHAMHING,Katrina</cp:lastModifiedBy>
  <cp:revision>2</cp:revision>
  <cp:lastPrinted>2015-11-09T00:17:00Z</cp:lastPrinted>
  <dcterms:created xsi:type="dcterms:W3CDTF">2018-02-28T01:21:00Z</dcterms:created>
  <dcterms:modified xsi:type="dcterms:W3CDTF">2018-02-28T01:21:00Z</dcterms:modified>
</cp:coreProperties>
</file>