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57" w:rsidRDefault="00DF16E1" w:rsidP="00DF16E1">
      <w:pPr>
        <w:jc w:val="center"/>
        <w:rPr>
          <w:u w:val="single"/>
        </w:rPr>
      </w:pPr>
      <w:r w:rsidRPr="00DF16E1">
        <w:rPr>
          <w:u w:val="single"/>
        </w:rPr>
        <w:t>Rapid Response Protocol</w:t>
      </w:r>
    </w:p>
    <w:p w:rsidR="00DF16E1" w:rsidRPr="00DF16E1" w:rsidRDefault="00DF16E1" w:rsidP="00DF16E1">
      <w:pPr>
        <w:rPr>
          <w:rFonts w:eastAsia="Times New Roman" w:cs="Times New Roman"/>
          <w:lang w:val="en" w:eastAsia="en-AU"/>
        </w:rPr>
      </w:pPr>
      <w:r w:rsidRPr="00DF16E1">
        <w:rPr>
          <w:rFonts w:eastAsia="Times New Roman" w:cs="Times New Roman"/>
          <w:lang w:val="en" w:eastAsia="en-AU"/>
        </w:rPr>
        <w:t xml:space="preserve">The </w:t>
      </w:r>
      <w:r w:rsidRPr="00DF16E1">
        <w:rPr>
          <w:rFonts w:eastAsia="Times New Roman" w:cs="Times New Roman"/>
          <w:b/>
          <w:lang w:val="en" w:eastAsia="en-AU"/>
        </w:rPr>
        <w:t>Rapid Response Protocol</w:t>
      </w:r>
      <w:r w:rsidRPr="00DF16E1">
        <w:rPr>
          <w:rFonts w:eastAsia="Times New Roman" w:cs="Times New Roman"/>
          <w:lang w:val="en" w:eastAsia="en-AU"/>
        </w:rPr>
        <w:t xml:space="preserve"> </w:t>
      </w:r>
      <w:r w:rsidRPr="00DF16E1">
        <w:rPr>
          <w:rFonts w:eastAsia="Times New Roman" w:cs="Times New Roman"/>
          <w:b/>
          <w:lang w:val="en" w:eastAsia="en-AU"/>
        </w:rPr>
        <w:t>(the protocol)</w:t>
      </w:r>
      <w:r w:rsidRPr="00DF16E1">
        <w:rPr>
          <w:rFonts w:eastAsia="Times New Roman" w:cs="Times New Roman"/>
          <w:lang w:val="en" w:eastAsia="en-AU"/>
        </w:rPr>
        <w:t xml:space="preserve"> has been developed by the</w:t>
      </w:r>
      <w:r w:rsidRPr="00DF16E1">
        <w:rPr>
          <w:rFonts w:eastAsia="Times New Roman" w:cs="Times New Roman"/>
          <w:b/>
          <w:lang w:val="en" w:eastAsia="en-AU"/>
        </w:rPr>
        <w:t xml:space="preserve"> Imported Materials with Asbestos Working Group</w:t>
      </w:r>
      <w:r w:rsidRPr="00DF16E1">
        <w:rPr>
          <w:rFonts w:eastAsia="Times New Roman" w:cs="Times New Roman"/>
          <w:lang w:val="en" w:eastAsia="en-AU"/>
        </w:rPr>
        <w:t xml:space="preserve"> </w:t>
      </w:r>
      <w:r w:rsidRPr="00DF16E1">
        <w:rPr>
          <w:rFonts w:eastAsia="Times New Roman" w:cs="Times New Roman"/>
          <w:b/>
          <w:lang w:val="en" w:eastAsia="en-AU"/>
        </w:rPr>
        <w:t>(Working Group),</w:t>
      </w:r>
      <w:r w:rsidRPr="00DF16E1">
        <w:rPr>
          <w:rFonts w:eastAsia="Times New Roman" w:cs="Times New Roman"/>
          <w:lang w:val="en" w:eastAsia="en-AU"/>
        </w:rPr>
        <w:t xml:space="preserve"> which is a working group of </w:t>
      </w:r>
      <w:r w:rsidRPr="00DF16E1">
        <w:rPr>
          <w:rFonts w:eastAsia="Times New Roman" w:cs="Times New Roman"/>
          <w:b/>
          <w:lang w:val="en" w:eastAsia="en-AU"/>
        </w:rPr>
        <w:t>The Heads of Workplace Safety Authority</w:t>
      </w:r>
      <w:r w:rsidRPr="00DF16E1">
        <w:rPr>
          <w:rFonts w:eastAsia="Times New Roman" w:cs="Times New Roman"/>
          <w:lang w:val="en" w:eastAsia="en-AU"/>
        </w:rPr>
        <w:t xml:space="preserve"> </w:t>
      </w:r>
      <w:r w:rsidRPr="00DF16E1">
        <w:rPr>
          <w:rFonts w:eastAsia="Times New Roman" w:cs="Times New Roman"/>
          <w:b/>
          <w:lang w:val="en" w:eastAsia="en-AU"/>
        </w:rPr>
        <w:t>(HWSA).</w:t>
      </w:r>
    </w:p>
    <w:p w:rsidR="00DF16E1" w:rsidRPr="00DF16E1" w:rsidRDefault="00DF16E1" w:rsidP="00DF16E1">
      <w:pPr>
        <w:rPr>
          <w:b/>
          <w:u w:val="single"/>
        </w:rPr>
      </w:pPr>
      <w:r w:rsidRPr="00DF16E1">
        <w:rPr>
          <w:rFonts w:eastAsia="Times New Roman" w:cs="Times New Roman"/>
          <w:lang w:val="en" w:eastAsia="en-AU"/>
        </w:rPr>
        <w:t>The protocol comes into action if ever asbestos-containing products cross, or have crossed, state lines. </w:t>
      </w:r>
      <w:r w:rsidRPr="00DF16E1">
        <w:t xml:space="preserve">The purpose of the protocol is to </w:t>
      </w:r>
      <w:r w:rsidRPr="00DF16E1">
        <w:rPr>
          <w:rFonts w:eastAsia="Times New Roman" w:cs="Times New Roman"/>
          <w:lang w:val="en" w:eastAsia="en-AU"/>
        </w:rPr>
        <w:t xml:space="preserve">enable government agencies to work together efficiently </w:t>
      </w:r>
      <w:r>
        <w:rPr>
          <w:rFonts w:eastAsia="Times New Roman" w:cs="Times New Roman"/>
          <w:lang w:val="en" w:eastAsia="en-AU"/>
        </w:rPr>
        <w:t xml:space="preserve">to manage the situation </w:t>
      </w:r>
      <w:r w:rsidRPr="00DF16E1">
        <w:rPr>
          <w:rFonts w:eastAsia="Times New Roman" w:cs="Times New Roman"/>
          <w:lang w:val="en" w:eastAsia="en-AU"/>
        </w:rPr>
        <w:t xml:space="preserve">across jurisdiction and portfolio lines. </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protocol will ensure that information is shared by all government agencies (that the particular incident is relevant to) to enable a uniform enforcement and national approach in dealing with the incident and in dealing with future incidents.</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objectives of the protocol are to:</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P</w:t>
      </w:r>
      <w:r w:rsidR="00DF16E1" w:rsidRPr="00DF16E1">
        <w:rPr>
          <w:rFonts w:eastAsia="Times New Roman" w:cs="Times New Roman"/>
          <w:lang w:val="en" w:eastAsia="en-AU"/>
        </w:rPr>
        <w:t>rovide a consistent approach to the risk assessment and treatment of asbestos-containing materials (ACMs) identified within Australia.</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E</w:t>
      </w:r>
      <w:r w:rsidR="00DF16E1" w:rsidRPr="00DF16E1">
        <w:rPr>
          <w:rFonts w:eastAsia="Times New Roman" w:cs="Times New Roman"/>
          <w:lang w:val="en" w:eastAsia="en-AU"/>
        </w:rPr>
        <w:t>nsure that there is guidance available to the HWSA Working Group and flexibility to address a variety of scenarios.</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E</w:t>
      </w:r>
      <w:r w:rsidR="00DF16E1" w:rsidRPr="00DF16E1">
        <w:rPr>
          <w:rFonts w:eastAsia="Times New Roman" w:cs="Times New Roman"/>
          <w:lang w:val="en" w:eastAsia="en-AU"/>
        </w:rPr>
        <w:t>nsure secure handling of information in line with relevant legislation.</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R</w:t>
      </w:r>
      <w:r w:rsidR="00DF16E1" w:rsidRPr="00DF16E1">
        <w:rPr>
          <w:rFonts w:eastAsia="Times New Roman" w:cs="Times New Roman"/>
          <w:lang w:val="en" w:eastAsia="en-AU"/>
        </w:rPr>
        <w:t>eflect the expectations of the government and community.</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P</w:t>
      </w:r>
      <w:r w:rsidR="00DF16E1" w:rsidRPr="00DF16E1">
        <w:rPr>
          <w:rFonts w:eastAsia="Times New Roman" w:cs="Times New Roman"/>
          <w:lang w:val="en" w:eastAsia="en-AU"/>
        </w:rPr>
        <w:t>rovide a clear guide for the allocation of resources in response to allegations made in the form of referrals to any of the members of the Working Group.</w:t>
      </w:r>
    </w:p>
    <w:p w:rsidR="00DF16E1" w:rsidRPr="00DF16E1" w:rsidRDefault="005E6396" w:rsidP="00DF16E1">
      <w:pPr>
        <w:numPr>
          <w:ilvl w:val="0"/>
          <w:numId w:val="1"/>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A</w:t>
      </w:r>
      <w:r w:rsidR="00DF16E1" w:rsidRPr="00DF16E1">
        <w:rPr>
          <w:rFonts w:eastAsia="Times New Roman" w:cs="Times New Roman"/>
          <w:lang w:val="en" w:eastAsia="en-AU"/>
        </w:rPr>
        <w:t>llow for the sharing of information amongst members of the Working Group.</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The Protocol </w:t>
      </w:r>
      <w:r w:rsidR="00571F15">
        <w:rPr>
          <w:rFonts w:eastAsia="Times New Roman" w:cs="Times New Roman"/>
          <w:lang w:val="en" w:eastAsia="en-AU"/>
        </w:rPr>
        <w:t xml:space="preserve">is </w:t>
      </w:r>
      <w:r w:rsidR="00082057">
        <w:rPr>
          <w:rFonts w:eastAsia="Times New Roman" w:cs="Times New Roman"/>
          <w:lang w:val="en" w:eastAsia="en-AU"/>
        </w:rPr>
        <w:t xml:space="preserve">intended to </w:t>
      </w:r>
      <w:r w:rsidRPr="00DF16E1">
        <w:rPr>
          <w:rFonts w:eastAsia="Times New Roman" w:cs="Times New Roman"/>
          <w:lang w:val="en" w:eastAsia="en-AU"/>
        </w:rPr>
        <w:t>guide parties on the appr</w:t>
      </w:r>
      <w:r w:rsidR="00082057">
        <w:rPr>
          <w:rFonts w:eastAsia="Times New Roman" w:cs="Times New Roman"/>
          <w:lang w:val="en" w:eastAsia="en-AU"/>
        </w:rPr>
        <w:t>opriate and available procedures</w:t>
      </w:r>
      <w:r w:rsidRPr="00DF16E1">
        <w:rPr>
          <w:rFonts w:eastAsia="Times New Roman" w:cs="Times New Roman"/>
          <w:lang w:val="en" w:eastAsia="en-AU"/>
        </w:rPr>
        <w:t xml:space="preserve">, and assure governments and the community that any incidents involving the importation of ACMs are being managed and investigated thoroughly and proactively. It should be used to facilitate consistency, transparency, </w:t>
      </w:r>
      <w:r w:rsidR="00082057">
        <w:rPr>
          <w:rFonts w:eastAsia="Times New Roman" w:cs="Times New Roman"/>
          <w:lang w:val="en" w:eastAsia="en-AU"/>
        </w:rPr>
        <w:t xml:space="preserve">to </w:t>
      </w:r>
      <w:r w:rsidRPr="00DF16E1">
        <w:rPr>
          <w:rFonts w:eastAsia="Times New Roman" w:cs="Times New Roman"/>
          <w:lang w:val="en" w:eastAsia="en-AU"/>
        </w:rPr>
        <w:t xml:space="preserve">clarify responsibilities and </w:t>
      </w:r>
      <w:r w:rsidR="00082057">
        <w:rPr>
          <w:rFonts w:eastAsia="Times New Roman" w:cs="Times New Roman"/>
          <w:lang w:val="en" w:eastAsia="en-AU"/>
        </w:rPr>
        <w:t xml:space="preserve">to </w:t>
      </w:r>
      <w:r w:rsidRPr="00DF16E1">
        <w:rPr>
          <w:rFonts w:eastAsia="Times New Roman" w:cs="Times New Roman"/>
          <w:lang w:val="en" w:eastAsia="en-AU"/>
        </w:rPr>
        <w:t>allow for rapid and effective communication and collaboration amongst the participants.</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Development of the Rapid Response Protocol</w:t>
      </w:r>
    </w:p>
    <w:p w:rsidR="00E668FC" w:rsidRDefault="00E668FC" w:rsidP="00DF16E1">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The </w:t>
      </w:r>
      <w:r w:rsidRPr="00DF16E1">
        <w:rPr>
          <w:rFonts w:eastAsia="Times New Roman" w:cs="Times New Roman"/>
          <w:lang w:val="en" w:eastAsia="en-AU"/>
        </w:rPr>
        <w:t xml:space="preserve">Working Group </w:t>
      </w:r>
      <w:r>
        <w:rPr>
          <w:rFonts w:eastAsia="Times New Roman" w:cs="Times New Roman"/>
          <w:lang w:val="en" w:eastAsia="en-AU"/>
        </w:rPr>
        <w:t xml:space="preserve">was established to deal with issues regarding imported materials that contain asbestos and </w:t>
      </w:r>
      <w:r w:rsidRPr="00DF16E1">
        <w:rPr>
          <w:rFonts w:eastAsia="Times New Roman" w:cs="Times New Roman"/>
          <w:lang w:val="en" w:eastAsia="en-AU"/>
        </w:rPr>
        <w:t xml:space="preserve">members </w:t>
      </w:r>
      <w:r>
        <w:rPr>
          <w:rFonts w:eastAsia="Times New Roman" w:cs="Times New Roman"/>
          <w:lang w:val="en" w:eastAsia="en-AU"/>
        </w:rPr>
        <w:t>agreed to the development of a Rapid Response P</w:t>
      </w:r>
      <w:r w:rsidRPr="00DF16E1">
        <w:rPr>
          <w:rFonts w:eastAsia="Times New Roman" w:cs="Times New Roman"/>
          <w:lang w:val="en" w:eastAsia="en-AU"/>
        </w:rPr>
        <w:t>rotocol to enable the rapid sharing of information between government departments and agencies on asbestos matters relating to imported goods.</w:t>
      </w:r>
    </w:p>
    <w:p w:rsidR="005E6396" w:rsidRDefault="00082057" w:rsidP="00DF16E1">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The Working Group is made up of </w:t>
      </w:r>
      <w:r w:rsidR="005E6396">
        <w:rPr>
          <w:rFonts w:eastAsia="Times New Roman" w:cs="Times New Roman"/>
          <w:lang w:val="en" w:eastAsia="en-AU"/>
        </w:rPr>
        <w:t xml:space="preserve">representatives from: </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r w:rsidRPr="005E6396">
        <w:rPr>
          <w:rFonts w:eastAsia="Times New Roman" w:cs="Times New Roman"/>
          <w:lang w:val="en" w:eastAsia="en-AU"/>
        </w:rPr>
        <w:t>T</w:t>
      </w:r>
      <w:r w:rsidR="00DF16E1" w:rsidRPr="005E6396">
        <w:rPr>
          <w:rFonts w:eastAsia="Times New Roman" w:cs="Times New Roman"/>
          <w:lang w:val="en" w:eastAsia="en-AU"/>
        </w:rPr>
        <w:t>he Asbestos Safe</w:t>
      </w:r>
      <w:r w:rsidR="00082057" w:rsidRPr="005E6396">
        <w:rPr>
          <w:rFonts w:eastAsia="Times New Roman" w:cs="Times New Roman"/>
          <w:lang w:val="en" w:eastAsia="en-AU"/>
        </w:rPr>
        <w:t>ty and Eradication Agency</w:t>
      </w:r>
      <w:r>
        <w:rPr>
          <w:rFonts w:eastAsia="Times New Roman" w:cs="Times New Roman"/>
          <w:lang w:val="en" w:eastAsia="en-AU"/>
        </w:rPr>
        <w:t xml:space="preserve"> (ASEA)</w:t>
      </w:r>
    </w:p>
    <w:p w:rsidR="005E6396" w:rsidRDefault="00DF16E1" w:rsidP="00DF16E1">
      <w:pPr>
        <w:pStyle w:val="ListParagraph"/>
        <w:numPr>
          <w:ilvl w:val="0"/>
          <w:numId w:val="23"/>
        </w:numPr>
        <w:spacing w:before="100" w:beforeAutospacing="1" w:after="100" w:afterAutospacing="1" w:line="240" w:lineRule="auto"/>
        <w:rPr>
          <w:rFonts w:eastAsia="Times New Roman" w:cs="Times New Roman"/>
          <w:lang w:val="en" w:eastAsia="en-AU"/>
        </w:rPr>
      </w:pPr>
      <w:r w:rsidRPr="005E6396">
        <w:rPr>
          <w:rFonts w:eastAsia="Times New Roman" w:cs="Times New Roman"/>
          <w:lang w:val="en" w:eastAsia="en-AU"/>
        </w:rPr>
        <w:t xml:space="preserve">Australian Competition &amp; Consumer </w:t>
      </w:r>
      <w:r w:rsidR="005E6396">
        <w:rPr>
          <w:rFonts w:eastAsia="Times New Roman" w:cs="Times New Roman"/>
          <w:lang w:val="en" w:eastAsia="en-AU"/>
        </w:rPr>
        <w:t>Commission (ACCC)</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Department of Home Affairs (Home Affairs)</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proofErr w:type="spellStart"/>
      <w:r>
        <w:rPr>
          <w:rFonts w:eastAsia="Times New Roman" w:cs="Times New Roman"/>
          <w:lang w:val="en" w:eastAsia="en-AU"/>
        </w:rPr>
        <w:t>SafeWork</w:t>
      </w:r>
      <w:proofErr w:type="spellEnd"/>
      <w:r>
        <w:rPr>
          <w:rFonts w:eastAsia="Times New Roman" w:cs="Times New Roman"/>
          <w:lang w:val="en" w:eastAsia="en-AU"/>
        </w:rPr>
        <w:t xml:space="preserve"> Australia</w:t>
      </w:r>
    </w:p>
    <w:p w:rsidR="005E6396" w:rsidRDefault="00DF16E1" w:rsidP="00DF16E1">
      <w:pPr>
        <w:pStyle w:val="ListParagraph"/>
        <w:numPr>
          <w:ilvl w:val="0"/>
          <w:numId w:val="23"/>
        </w:numPr>
        <w:spacing w:before="100" w:beforeAutospacing="1" w:after="100" w:afterAutospacing="1" w:line="240" w:lineRule="auto"/>
        <w:rPr>
          <w:rFonts w:eastAsia="Times New Roman" w:cs="Times New Roman"/>
          <w:lang w:val="en" w:eastAsia="en-AU"/>
        </w:rPr>
      </w:pPr>
      <w:r w:rsidRPr="005E6396">
        <w:rPr>
          <w:rFonts w:eastAsia="Times New Roman" w:cs="Times New Roman"/>
          <w:lang w:val="en" w:eastAsia="en-AU"/>
        </w:rPr>
        <w:t xml:space="preserve">Safe Work </w:t>
      </w:r>
      <w:r w:rsidR="005E6396">
        <w:rPr>
          <w:rFonts w:eastAsia="Times New Roman" w:cs="Times New Roman"/>
          <w:lang w:val="en" w:eastAsia="en-AU"/>
        </w:rPr>
        <w:t>SA</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proofErr w:type="spellStart"/>
      <w:r>
        <w:rPr>
          <w:rFonts w:eastAsia="Times New Roman" w:cs="Times New Roman"/>
          <w:lang w:val="en" w:eastAsia="en-AU"/>
        </w:rPr>
        <w:t>SafeWork</w:t>
      </w:r>
      <w:proofErr w:type="spellEnd"/>
      <w:r>
        <w:rPr>
          <w:rFonts w:eastAsia="Times New Roman" w:cs="Times New Roman"/>
          <w:lang w:val="en" w:eastAsia="en-AU"/>
        </w:rPr>
        <w:t xml:space="preserve"> NSW</w:t>
      </w:r>
      <w:r w:rsidR="00DF16E1" w:rsidRPr="005E6396">
        <w:rPr>
          <w:rFonts w:eastAsia="Times New Roman" w:cs="Times New Roman"/>
          <w:lang w:val="en" w:eastAsia="en-AU"/>
        </w:rPr>
        <w:t xml:space="preserve"> </w:t>
      </w:r>
    </w:p>
    <w:p w:rsidR="005E6396" w:rsidRDefault="00DF16E1" w:rsidP="00DF16E1">
      <w:pPr>
        <w:pStyle w:val="ListParagraph"/>
        <w:numPr>
          <w:ilvl w:val="0"/>
          <w:numId w:val="23"/>
        </w:numPr>
        <w:spacing w:before="100" w:beforeAutospacing="1" w:after="100" w:afterAutospacing="1" w:line="240" w:lineRule="auto"/>
        <w:rPr>
          <w:rFonts w:eastAsia="Times New Roman" w:cs="Times New Roman"/>
          <w:lang w:val="en" w:eastAsia="en-AU"/>
        </w:rPr>
      </w:pPr>
      <w:r w:rsidRPr="005E6396">
        <w:rPr>
          <w:rFonts w:eastAsia="Times New Roman" w:cs="Times New Roman"/>
          <w:lang w:val="en" w:eastAsia="en-AU"/>
        </w:rPr>
        <w:t>Workpl</w:t>
      </w:r>
      <w:r w:rsidR="005E6396">
        <w:rPr>
          <w:rFonts w:eastAsia="Times New Roman" w:cs="Times New Roman"/>
          <w:lang w:val="en" w:eastAsia="en-AU"/>
        </w:rPr>
        <w:t>ace Health and Safety QLD</w:t>
      </w:r>
    </w:p>
    <w:p w:rsidR="005E6396" w:rsidRDefault="00DF16E1" w:rsidP="00DF16E1">
      <w:pPr>
        <w:pStyle w:val="ListParagraph"/>
        <w:numPr>
          <w:ilvl w:val="0"/>
          <w:numId w:val="23"/>
        </w:numPr>
        <w:spacing w:before="100" w:beforeAutospacing="1" w:after="100" w:afterAutospacing="1" w:line="240" w:lineRule="auto"/>
        <w:rPr>
          <w:rFonts w:eastAsia="Times New Roman" w:cs="Times New Roman"/>
          <w:lang w:val="en" w:eastAsia="en-AU"/>
        </w:rPr>
      </w:pPr>
      <w:proofErr w:type="spellStart"/>
      <w:r w:rsidRPr="005E6396">
        <w:rPr>
          <w:rFonts w:eastAsia="Times New Roman" w:cs="Times New Roman"/>
          <w:lang w:val="en" w:eastAsia="en-AU"/>
        </w:rPr>
        <w:t>WorkSafe</w:t>
      </w:r>
      <w:proofErr w:type="spellEnd"/>
      <w:r w:rsidRPr="005E6396">
        <w:rPr>
          <w:rFonts w:eastAsia="Times New Roman" w:cs="Times New Roman"/>
          <w:lang w:val="en" w:eastAsia="en-AU"/>
        </w:rPr>
        <w:t xml:space="preserve"> </w:t>
      </w:r>
      <w:r w:rsidR="005E6396">
        <w:rPr>
          <w:rFonts w:eastAsia="Times New Roman" w:cs="Times New Roman"/>
          <w:lang w:val="en" w:eastAsia="en-AU"/>
        </w:rPr>
        <w:t>ACT</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NT </w:t>
      </w:r>
      <w:proofErr w:type="spellStart"/>
      <w:r>
        <w:rPr>
          <w:rFonts w:eastAsia="Times New Roman" w:cs="Times New Roman"/>
          <w:lang w:val="en" w:eastAsia="en-AU"/>
        </w:rPr>
        <w:t>Worksafe</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lastRenderedPageBreak/>
        <w:t>WorkSafe</w:t>
      </w:r>
      <w:proofErr w:type="spellEnd"/>
      <w:r>
        <w:rPr>
          <w:rFonts w:eastAsia="Times New Roman" w:cs="Times New Roman"/>
          <w:lang w:val="en" w:eastAsia="en-AU"/>
        </w:rPr>
        <w:t xml:space="preserve"> TAS</w:t>
      </w:r>
    </w:p>
    <w:p w:rsid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proofErr w:type="spellStart"/>
      <w:r>
        <w:rPr>
          <w:rFonts w:eastAsia="Times New Roman" w:cs="Times New Roman"/>
          <w:lang w:val="en" w:eastAsia="en-AU"/>
        </w:rPr>
        <w:t>WorkSafe</w:t>
      </w:r>
      <w:proofErr w:type="spellEnd"/>
      <w:r>
        <w:rPr>
          <w:rFonts w:eastAsia="Times New Roman" w:cs="Times New Roman"/>
          <w:lang w:val="en" w:eastAsia="en-AU"/>
        </w:rPr>
        <w:t xml:space="preserve"> VIC </w:t>
      </w:r>
    </w:p>
    <w:p w:rsidR="00DF16E1" w:rsidRPr="005E6396" w:rsidRDefault="005E6396" w:rsidP="00DF16E1">
      <w:pPr>
        <w:pStyle w:val="ListParagraph"/>
        <w:numPr>
          <w:ilvl w:val="0"/>
          <w:numId w:val="23"/>
        </w:numPr>
        <w:spacing w:before="100" w:beforeAutospacing="1" w:after="100" w:afterAutospacing="1" w:line="240" w:lineRule="auto"/>
        <w:rPr>
          <w:rFonts w:eastAsia="Times New Roman" w:cs="Times New Roman"/>
          <w:lang w:val="en" w:eastAsia="en-AU"/>
        </w:rPr>
      </w:pPr>
      <w:proofErr w:type="spellStart"/>
      <w:r>
        <w:rPr>
          <w:rFonts w:eastAsia="Times New Roman" w:cs="Times New Roman"/>
          <w:lang w:val="en" w:eastAsia="en-AU"/>
        </w:rPr>
        <w:t>WorkSafe</w:t>
      </w:r>
      <w:proofErr w:type="spellEnd"/>
      <w:r>
        <w:rPr>
          <w:rFonts w:eastAsia="Times New Roman" w:cs="Times New Roman"/>
          <w:lang w:val="en" w:eastAsia="en-AU"/>
        </w:rPr>
        <w:t xml:space="preserve"> WA</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Purpose of the Rapid Response Protocol</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Protocol will enable the Working Group members to:</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alert other Working Group members of a new incident involving the importat</w:t>
      </w:r>
      <w:r w:rsidR="005E6396">
        <w:rPr>
          <w:rFonts w:eastAsia="Times New Roman" w:cs="Times New Roman"/>
          <w:lang w:val="en" w:eastAsia="en-AU"/>
        </w:rPr>
        <w:t>ion of ACMs into a jurisdiction,</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describe the incident by providing a brief description of the scope of the issue.</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provide details of the importing body, including a risk assessment if possible and any other relevant </w:t>
      </w:r>
      <w:r w:rsidR="005E6396">
        <w:rPr>
          <w:rFonts w:eastAsia="Times New Roman" w:cs="Times New Roman"/>
          <w:lang w:val="en" w:eastAsia="en-AU"/>
        </w:rPr>
        <w:t>data, including contact details,</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provide deta</w:t>
      </w:r>
      <w:r w:rsidR="005E6396">
        <w:rPr>
          <w:rFonts w:eastAsia="Times New Roman" w:cs="Times New Roman"/>
          <w:lang w:val="en" w:eastAsia="en-AU"/>
        </w:rPr>
        <w:t>ils of the action taken to date,</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advise on further action to be undertake</w:t>
      </w:r>
      <w:r w:rsidR="005E6396">
        <w:rPr>
          <w:rFonts w:eastAsia="Times New Roman" w:cs="Times New Roman"/>
          <w:lang w:val="en" w:eastAsia="en-AU"/>
        </w:rPr>
        <w:t>n by the reporting jurisdiction,</w:t>
      </w:r>
    </w:p>
    <w:p w:rsidR="00DF16E1" w:rsidRPr="00DF16E1" w:rsidRDefault="00DF16E1" w:rsidP="00DF16E1">
      <w:pPr>
        <w:numPr>
          <w:ilvl w:val="0"/>
          <w:numId w:val="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share information, such as details on when, where, and by whom imports have occurred, as well as safety alerts relating to a particular incident.</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It will also enable Working Group members who have been notified of a new incident to:</w:t>
      </w:r>
    </w:p>
    <w:p w:rsidR="00DF16E1" w:rsidRPr="00DF16E1" w:rsidRDefault="00DF16E1" w:rsidP="00DF16E1">
      <w:pPr>
        <w:numPr>
          <w:ilvl w:val="0"/>
          <w:numId w:val="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comment on an incident r</w:t>
      </w:r>
      <w:r w:rsidR="001D1CBB">
        <w:rPr>
          <w:rFonts w:eastAsia="Times New Roman" w:cs="Times New Roman"/>
          <w:lang w:val="en" w:eastAsia="en-AU"/>
        </w:rPr>
        <w:t>eported by another jurisdiction,</w:t>
      </w:r>
    </w:p>
    <w:p w:rsidR="00DF16E1" w:rsidRPr="00DF16E1" w:rsidRDefault="001D1CBB" w:rsidP="00DF16E1">
      <w:pPr>
        <w:numPr>
          <w:ilvl w:val="0"/>
          <w:numId w:val="4"/>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share any relevant information,</w:t>
      </w:r>
    </w:p>
    <w:p w:rsidR="00DF16E1" w:rsidRPr="00DF16E1" w:rsidRDefault="00DF16E1" w:rsidP="00DF16E1">
      <w:pPr>
        <w:numPr>
          <w:ilvl w:val="0"/>
          <w:numId w:val="4"/>
        </w:numPr>
        <w:spacing w:before="100" w:beforeAutospacing="1" w:after="100" w:afterAutospacing="1" w:line="240" w:lineRule="auto"/>
        <w:rPr>
          <w:rFonts w:eastAsia="Times New Roman" w:cs="Times New Roman"/>
          <w:lang w:val="en" w:eastAsia="en-AU"/>
        </w:rPr>
      </w:pPr>
      <w:proofErr w:type="spellStart"/>
      <w:r w:rsidRPr="00DF16E1">
        <w:rPr>
          <w:rFonts w:eastAsia="Times New Roman" w:cs="Times New Roman"/>
          <w:lang w:val="en" w:eastAsia="en-AU"/>
        </w:rPr>
        <w:t>utilise</w:t>
      </w:r>
      <w:proofErr w:type="spellEnd"/>
      <w:r w:rsidRPr="00DF16E1">
        <w:rPr>
          <w:rFonts w:eastAsia="Times New Roman" w:cs="Times New Roman"/>
          <w:lang w:val="en" w:eastAsia="en-AU"/>
        </w:rPr>
        <w:t xml:space="preserve"> information shared by other jurisdict</w:t>
      </w:r>
      <w:r w:rsidR="001D1CBB">
        <w:rPr>
          <w:rFonts w:eastAsia="Times New Roman" w:cs="Times New Roman"/>
          <w:lang w:val="en" w:eastAsia="en-AU"/>
        </w:rPr>
        <w:t xml:space="preserve">ions, such as safety alerts </w:t>
      </w:r>
      <w:proofErr w:type="spellStart"/>
      <w:r w:rsidR="001D1CBB">
        <w:rPr>
          <w:rFonts w:eastAsia="Times New Roman" w:cs="Times New Roman"/>
          <w:lang w:val="en" w:eastAsia="en-AU"/>
        </w:rPr>
        <w:t>etc</w:t>
      </w:r>
      <w:proofErr w:type="spellEnd"/>
      <w:r w:rsidR="001D1CBB">
        <w:rPr>
          <w:rFonts w:eastAsia="Times New Roman" w:cs="Times New Roman"/>
          <w:lang w:val="en" w:eastAsia="en-AU"/>
        </w:rPr>
        <w:t>,</w:t>
      </w:r>
    </w:p>
    <w:p w:rsidR="00DF16E1" w:rsidRPr="00DF16E1" w:rsidRDefault="00DF16E1" w:rsidP="00DF16E1">
      <w:pPr>
        <w:numPr>
          <w:ilvl w:val="0"/>
          <w:numId w:val="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propose further action, such as the convening of a Working Group meeting.</w:t>
      </w:r>
    </w:p>
    <w:p w:rsidR="00E668FC" w:rsidRPr="00DF16E1" w:rsidRDefault="00E668FC" w:rsidP="00E668FC">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HWSA Working Group Secretariat</w:t>
      </w:r>
    </w:p>
    <w:p w:rsidR="00E668FC" w:rsidRPr="00DF16E1" w:rsidRDefault="00E668FC" w:rsidP="00E668FC">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The Secretariat of the Working Group is the </w:t>
      </w:r>
      <w:r>
        <w:rPr>
          <w:rFonts w:eastAsia="Times New Roman" w:cs="Times New Roman"/>
          <w:lang w:val="en" w:eastAsia="en-AU"/>
        </w:rPr>
        <w:t>administrator</w:t>
      </w:r>
      <w:r w:rsidRPr="00DF16E1">
        <w:rPr>
          <w:rFonts w:eastAsia="Times New Roman" w:cs="Times New Roman"/>
          <w:lang w:val="en" w:eastAsia="en-AU"/>
        </w:rPr>
        <w:t xml:space="preserve"> for the Protocol. The sharing of information through the Secretariat wil</w:t>
      </w:r>
      <w:r>
        <w:rPr>
          <w:rFonts w:eastAsia="Times New Roman" w:cs="Times New Roman"/>
          <w:lang w:val="en" w:eastAsia="en-AU"/>
        </w:rPr>
        <w:t>l enable Working Group members </w:t>
      </w:r>
      <w:r w:rsidRPr="00DF16E1">
        <w:rPr>
          <w:rFonts w:eastAsia="Times New Roman" w:cs="Times New Roman"/>
          <w:lang w:val="en" w:eastAsia="en-AU"/>
        </w:rPr>
        <w:t>to communicate issues that relate to the detection of ACMs that have been imported into their jurisdictions, which may also potentially affect other jurisdictions.</w:t>
      </w:r>
    </w:p>
    <w:p w:rsidR="00E668FC" w:rsidRPr="00DF16E1" w:rsidRDefault="00E668FC" w:rsidP="00E668FC">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agency or authority which first detected the issue can contact the Secretariat and ask for details about the issue to be shared with the Working Group as soon as possible, or alternatively can contact relevant members of the working group directly and also the secretariat.</w:t>
      </w:r>
    </w:p>
    <w:p w:rsidR="00E668FC" w:rsidRPr="00DF16E1" w:rsidRDefault="00E668FC" w:rsidP="00E668FC">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Any of the Working Group members, including the initiating agency or authority, can also ask for the Secretariat to quickly arrange a Working Group teleconference to collectively plan the next steps and to determine roles and responsibilities for each of the agencies and authorities involved. The Working Group will collectively manage the issue through to resolution on a case-by-case basis.</w:t>
      </w:r>
    </w:p>
    <w:p w:rsidR="00E668FC" w:rsidRPr="00DF16E1" w:rsidRDefault="00E668FC" w:rsidP="00E668FC">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The contact details for the Secretariat are currently: </w:t>
      </w:r>
      <w:hyperlink r:id="rId5" w:history="1">
        <w:r w:rsidRPr="00DF16E1">
          <w:rPr>
            <w:rFonts w:eastAsia="Times New Roman" w:cs="Times New Roman"/>
            <w:color w:val="0000FF"/>
            <w:u w:val="single"/>
            <w:lang w:val="en" w:eastAsia="en-AU"/>
          </w:rPr>
          <w:t>Secretariat@asbestossafety.gov.au</w:t>
        </w:r>
      </w:hyperlink>
      <w:r w:rsidRPr="00DF16E1">
        <w:rPr>
          <w:rFonts w:eastAsia="Times New Roman" w:cs="Times New Roman"/>
          <w:lang w:val="en" w:eastAsia="en-AU"/>
        </w:rPr>
        <w:t>. Each Working Group member is responsible for maintaining and updating valid contact details with the Secretariat.</w:t>
      </w:r>
    </w:p>
    <w:p w:rsidR="00DF16E1" w:rsidRPr="00DF16E1" w:rsidRDefault="00DF16E1" w:rsidP="00E668FC">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What would be considered to be a reportable incident for imported goods?</w:t>
      </w:r>
    </w:p>
    <w:p w:rsidR="00DF16E1" w:rsidRPr="00DF16E1" w:rsidRDefault="00DF16E1" w:rsidP="00DF16E1">
      <w:pPr>
        <w:spacing w:before="100" w:beforeAutospacing="1" w:after="100" w:afterAutospacing="1" w:line="240" w:lineRule="auto"/>
        <w:ind w:left="87"/>
        <w:rPr>
          <w:rFonts w:eastAsia="Times New Roman" w:cs="Times New Roman"/>
          <w:lang w:val="en" w:eastAsia="en-AU"/>
        </w:rPr>
      </w:pPr>
      <w:r w:rsidRPr="00DF16E1">
        <w:rPr>
          <w:rFonts w:eastAsia="Times New Roman" w:cs="Times New Roman"/>
          <w:lang w:val="en" w:eastAsia="en-AU"/>
        </w:rPr>
        <w:t>An incident should only be reported to other jurisdictions via the Protocol where the following conditions have been met:</w:t>
      </w:r>
    </w:p>
    <w:p w:rsidR="00DF16E1" w:rsidRPr="00DF16E1" w:rsidRDefault="00DF16E1" w:rsidP="00DF16E1">
      <w:pPr>
        <w:numPr>
          <w:ilvl w:val="0"/>
          <w:numId w:val="5"/>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incident i</w:t>
      </w:r>
      <w:r w:rsidR="001D1CBB">
        <w:rPr>
          <w:rFonts w:eastAsia="Times New Roman" w:cs="Times New Roman"/>
          <w:lang w:val="en" w:eastAsia="en-AU"/>
        </w:rPr>
        <w:t>nvolves the importation of ACMs,</w:t>
      </w:r>
    </w:p>
    <w:p w:rsidR="00DF16E1" w:rsidRPr="00DF16E1" w:rsidRDefault="00DF16E1" w:rsidP="00DF16E1">
      <w:pPr>
        <w:numPr>
          <w:ilvl w:val="0"/>
          <w:numId w:val="5"/>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lastRenderedPageBreak/>
        <w:t>the goods have been confirmed to contain asbestos.</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Further, the level of response should be appropriate to the level of risk. To determine the risk, a Risk Assessment Process has been developed, as detailed below.</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How is the Rapid Response Protocol initiated?</w:t>
      </w:r>
    </w:p>
    <w:p w:rsidR="00DF16E1" w:rsidRDefault="009F439D" w:rsidP="00DF16E1">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An agency or authority which either </w:t>
      </w:r>
      <w:r w:rsidR="00DF16E1" w:rsidRPr="00DF16E1">
        <w:rPr>
          <w:rFonts w:eastAsia="Times New Roman" w:cs="Times New Roman"/>
          <w:lang w:val="en" w:eastAsia="en-AU"/>
        </w:rPr>
        <w:t>first identifies</w:t>
      </w:r>
      <w:r>
        <w:rPr>
          <w:rFonts w:eastAsia="Times New Roman" w:cs="Times New Roman"/>
          <w:lang w:val="en" w:eastAsia="en-AU"/>
        </w:rPr>
        <w:t>, or is first referred</w:t>
      </w:r>
      <w:r w:rsidR="00DF16E1" w:rsidRPr="00DF16E1">
        <w:rPr>
          <w:rFonts w:eastAsia="Times New Roman" w:cs="Times New Roman"/>
          <w:lang w:val="en" w:eastAsia="en-AU"/>
        </w:rPr>
        <w:t xml:space="preserve"> a reportable incident in their jurisdiction</w:t>
      </w:r>
      <w:r>
        <w:rPr>
          <w:rFonts w:eastAsia="Times New Roman" w:cs="Times New Roman"/>
          <w:lang w:val="en" w:eastAsia="en-AU"/>
        </w:rPr>
        <w:t>,</w:t>
      </w:r>
      <w:r w:rsidR="00DF16E1" w:rsidRPr="00DF16E1">
        <w:rPr>
          <w:rFonts w:eastAsia="Times New Roman" w:cs="Times New Roman"/>
          <w:lang w:val="en" w:eastAsia="en-AU"/>
        </w:rPr>
        <w:t xml:space="preserve"> and believes the issue may affect more than their jurisdiction, should initiate the Protocol by alerting the Working Group Secretariat as soon as possible.</w:t>
      </w:r>
    </w:p>
    <w:p w:rsidR="00CC41A6" w:rsidRPr="00CC41A6" w:rsidRDefault="00CC41A6" w:rsidP="00DF16E1">
      <w:pPr>
        <w:spacing w:before="100" w:beforeAutospacing="1" w:after="100" w:afterAutospacing="1" w:line="240" w:lineRule="auto"/>
        <w:rPr>
          <w:rFonts w:eastAsia="Times New Roman" w:cs="Times New Roman"/>
          <w:b/>
          <w:lang w:val="en" w:eastAsia="en-AU"/>
        </w:rPr>
      </w:pPr>
      <w:r w:rsidRPr="00CC41A6">
        <w:rPr>
          <w:rFonts w:eastAsia="Times New Roman" w:cs="Times New Roman"/>
          <w:b/>
          <w:lang w:val="en" w:eastAsia="en-AU"/>
        </w:rPr>
        <w:t>Stages of the Rapid Response Protocol</w:t>
      </w:r>
      <w:r>
        <w:rPr>
          <w:rFonts w:eastAsia="Times New Roman" w:cs="Times New Roman"/>
          <w:b/>
          <w:lang w:val="en" w:eastAsia="en-AU"/>
        </w:rPr>
        <w:t>:</w:t>
      </w:r>
      <w:r w:rsidRPr="00CC41A6">
        <w:rPr>
          <w:rFonts w:eastAsia="Times New Roman" w:cs="Times New Roman"/>
          <w:b/>
          <w:lang w:val="en" w:eastAsia="en-AU"/>
        </w:rPr>
        <w:t xml:space="preserve"> </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Risk assessment process</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level of response to a particular incident will be</w:t>
      </w:r>
      <w:r w:rsidR="009F439D">
        <w:rPr>
          <w:rFonts w:eastAsia="Times New Roman" w:cs="Times New Roman"/>
          <w:lang w:val="en" w:eastAsia="en-AU"/>
        </w:rPr>
        <w:t xml:space="preserve"> determined</w:t>
      </w:r>
      <w:r w:rsidRPr="00DF16E1">
        <w:rPr>
          <w:rFonts w:eastAsia="Times New Roman" w:cs="Times New Roman"/>
          <w:lang w:val="en" w:eastAsia="en-AU"/>
        </w:rPr>
        <w:t xml:space="preserve"> by the completion of a risk assessment </w:t>
      </w:r>
      <w:r w:rsidR="009F439D">
        <w:rPr>
          <w:rFonts w:eastAsia="Times New Roman" w:cs="Times New Roman"/>
          <w:lang w:val="en" w:eastAsia="en-AU"/>
        </w:rPr>
        <w:t xml:space="preserve">which is </w:t>
      </w:r>
      <w:r w:rsidRPr="00DF16E1">
        <w:rPr>
          <w:rFonts w:eastAsia="Times New Roman" w:cs="Times New Roman"/>
          <w:lang w:val="en" w:eastAsia="en-AU"/>
        </w:rPr>
        <w:t>undertaken by the agency or authority which first received the referral or identified the issue.</w:t>
      </w:r>
    </w:p>
    <w:p w:rsidR="00DF16E1" w:rsidRPr="00DF16E1" w:rsidRDefault="00DF16E1" w:rsidP="00DF16E1">
      <w:pPr>
        <w:spacing w:before="100" w:beforeAutospacing="1" w:after="100" w:afterAutospacing="1" w:line="240" w:lineRule="auto"/>
        <w:outlineLvl w:val="2"/>
        <w:rPr>
          <w:rFonts w:eastAsia="Times New Roman" w:cs="Times New Roman"/>
          <w:b/>
          <w:bCs/>
          <w:lang w:val="en" w:eastAsia="en-AU"/>
        </w:rPr>
      </w:pPr>
      <w:r w:rsidRPr="00DF16E1">
        <w:rPr>
          <w:rFonts w:eastAsia="Times New Roman" w:cs="Times New Roman"/>
          <w:b/>
          <w:bCs/>
          <w:lang w:val="en" w:eastAsia="en-AU"/>
        </w:rPr>
        <w:t>Pre-Implementation</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Prior to reaching the ‘response stage’, a number of steps should be taken. This may include:</w:t>
      </w:r>
    </w:p>
    <w:p w:rsidR="00DF16E1" w:rsidRPr="009F439D" w:rsidRDefault="00D3319E" w:rsidP="009F439D">
      <w:pPr>
        <w:pStyle w:val="ListParagraph"/>
        <w:numPr>
          <w:ilvl w:val="0"/>
          <w:numId w:val="17"/>
        </w:num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the receipt of the</w:t>
      </w:r>
      <w:r w:rsidR="00DF16E1" w:rsidRPr="009F439D">
        <w:rPr>
          <w:rFonts w:eastAsia="Times New Roman" w:cs="Times New Roman"/>
          <w:lang w:val="en" w:eastAsia="en-AU"/>
        </w:rPr>
        <w:t xml:space="preserve"> international or domestic referral to your Agency from a member of th</w:t>
      </w:r>
      <w:r w:rsidR="001D1CBB">
        <w:rPr>
          <w:rFonts w:eastAsia="Times New Roman" w:cs="Times New Roman"/>
          <w:lang w:val="en" w:eastAsia="en-AU"/>
        </w:rPr>
        <w:t>e public, industry group, union</w:t>
      </w:r>
      <w:r w:rsidR="00DF16E1" w:rsidRPr="009F439D">
        <w:rPr>
          <w:rFonts w:eastAsia="Times New Roman" w:cs="Times New Roman"/>
          <w:lang w:val="en" w:eastAsia="en-AU"/>
        </w:rPr>
        <w:t>,</w:t>
      </w:r>
      <w:r w:rsidR="001D1CBB">
        <w:rPr>
          <w:rFonts w:eastAsia="Times New Roman" w:cs="Times New Roman"/>
          <w:lang w:val="en" w:eastAsia="en-AU"/>
        </w:rPr>
        <w:t xml:space="preserve"> </w:t>
      </w:r>
      <w:r w:rsidR="00DF16E1" w:rsidRPr="009F439D">
        <w:rPr>
          <w:rFonts w:eastAsia="Times New Roman" w:cs="Times New Roman"/>
          <w:lang w:val="en" w:eastAsia="en-AU"/>
        </w:rPr>
        <w:t>manuf</w:t>
      </w:r>
      <w:r w:rsidR="001D1CBB">
        <w:rPr>
          <w:rFonts w:eastAsia="Times New Roman" w:cs="Times New Roman"/>
          <w:lang w:val="en" w:eastAsia="en-AU"/>
        </w:rPr>
        <w:t>acturer, trades person or other,</w:t>
      </w:r>
    </w:p>
    <w:p w:rsidR="00DF16E1" w:rsidRPr="009F439D" w:rsidRDefault="00DF16E1" w:rsidP="009F439D">
      <w:pPr>
        <w:pStyle w:val="ListParagraph"/>
        <w:numPr>
          <w:ilvl w:val="0"/>
          <w:numId w:val="17"/>
        </w:numPr>
        <w:spacing w:before="100" w:beforeAutospacing="1" w:after="100" w:afterAutospacing="1" w:line="240" w:lineRule="auto"/>
        <w:rPr>
          <w:rFonts w:eastAsia="Times New Roman" w:cs="Times New Roman"/>
          <w:lang w:val="en" w:eastAsia="en-AU"/>
        </w:rPr>
      </w:pPr>
      <w:r w:rsidRPr="009F439D">
        <w:rPr>
          <w:rFonts w:eastAsia="Times New Roman" w:cs="Times New Roman"/>
          <w:lang w:val="en" w:eastAsia="en-AU"/>
        </w:rPr>
        <w:t xml:space="preserve">consultation with ASEA, Work, Health and Safety Regulators, the </w:t>
      </w:r>
      <w:r w:rsidR="001D1CBB">
        <w:rPr>
          <w:rFonts w:eastAsia="Times New Roman" w:cs="Times New Roman"/>
          <w:lang w:val="en" w:eastAsia="en-AU"/>
        </w:rPr>
        <w:t>ACCC or Department of Home Affairs</w:t>
      </w:r>
      <w:r w:rsidRPr="009F439D">
        <w:rPr>
          <w:rFonts w:eastAsia="Times New Roman" w:cs="Times New Roman"/>
          <w:lang w:val="en" w:eastAsia="en-AU"/>
        </w:rPr>
        <w:t xml:space="preserve"> to establish whether the relevant item has previously bee</w:t>
      </w:r>
      <w:r w:rsidR="001D1CBB">
        <w:rPr>
          <w:rFonts w:eastAsia="Times New Roman" w:cs="Times New Roman"/>
          <w:lang w:val="en" w:eastAsia="en-AU"/>
        </w:rPr>
        <w:t>n confirmed to contain asbestos,</w:t>
      </w:r>
    </w:p>
    <w:p w:rsidR="00DF16E1" w:rsidRPr="00D3319E" w:rsidRDefault="00DF16E1" w:rsidP="00D3319E">
      <w:pPr>
        <w:pStyle w:val="ListParagraph"/>
        <w:numPr>
          <w:ilvl w:val="0"/>
          <w:numId w:val="18"/>
        </w:numPr>
        <w:spacing w:before="100" w:beforeAutospacing="1" w:after="100" w:afterAutospacing="1" w:line="240" w:lineRule="auto"/>
        <w:rPr>
          <w:rFonts w:eastAsia="Times New Roman" w:cs="Times New Roman"/>
          <w:lang w:val="en" w:eastAsia="en-AU"/>
        </w:rPr>
      </w:pPr>
      <w:r w:rsidRPr="00D3319E">
        <w:rPr>
          <w:rFonts w:eastAsia="Times New Roman" w:cs="Times New Roman"/>
          <w:lang w:val="en" w:eastAsia="en-AU"/>
        </w:rPr>
        <w:t xml:space="preserve">discussion or </w:t>
      </w:r>
      <w:r w:rsidR="00D3319E" w:rsidRPr="00D3319E">
        <w:rPr>
          <w:rFonts w:eastAsia="Times New Roman" w:cs="Times New Roman"/>
          <w:lang w:val="en" w:eastAsia="en-AU"/>
        </w:rPr>
        <w:t>correspondence</w:t>
      </w:r>
      <w:r w:rsidRPr="00D3319E">
        <w:rPr>
          <w:rFonts w:eastAsia="Times New Roman" w:cs="Times New Roman"/>
          <w:lang w:val="en" w:eastAsia="en-AU"/>
        </w:rPr>
        <w:t xml:space="preserve"> with the owner or importer of the goods to establish the source of the product and whether it had been imported, details of the importation including the source of the goods, and how wide the distribution has been domestically.</w:t>
      </w:r>
    </w:p>
    <w:p w:rsidR="00DF16E1" w:rsidRPr="00DF16E1" w:rsidRDefault="00CC41A6" w:rsidP="00DF16E1">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After gathering these facts and confirming</w:t>
      </w:r>
      <w:r w:rsidR="00DF16E1" w:rsidRPr="00DF16E1">
        <w:rPr>
          <w:rFonts w:eastAsia="Times New Roman" w:cs="Times New Roman"/>
          <w:lang w:val="en" w:eastAsia="en-AU"/>
        </w:rPr>
        <w:t xml:space="preserve"> that the goods are ACMs, the agency or authority which first detected the issue will alert relevant members of the Working Group through the Working Group Secretariat.  If there is no current information on whether the goods are ACM</w:t>
      </w:r>
      <w:r>
        <w:rPr>
          <w:rFonts w:eastAsia="Times New Roman" w:cs="Times New Roman"/>
          <w:lang w:val="en" w:eastAsia="en-AU"/>
        </w:rPr>
        <w:t>s</w:t>
      </w:r>
      <w:r w:rsidR="00DF16E1" w:rsidRPr="00DF16E1">
        <w:rPr>
          <w:rFonts w:eastAsia="Times New Roman" w:cs="Times New Roman"/>
          <w:lang w:val="en" w:eastAsia="en-AU"/>
        </w:rPr>
        <w:t>, testing will be required prior to alerting relevant members of the Working Group.</w:t>
      </w:r>
    </w:p>
    <w:p w:rsidR="00DF16E1" w:rsidRPr="00DF16E1" w:rsidRDefault="00DF16E1" w:rsidP="00DF16E1">
      <w:pPr>
        <w:spacing w:before="100" w:beforeAutospacing="1" w:after="100" w:afterAutospacing="1" w:line="240" w:lineRule="auto"/>
        <w:outlineLvl w:val="2"/>
        <w:rPr>
          <w:rFonts w:eastAsia="Times New Roman" w:cs="Times New Roman"/>
          <w:b/>
          <w:bCs/>
          <w:lang w:val="en" w:eastAsia="en-AU"/>
        </w:rPr>
      </w:pPr>
      <w:r w:rsidRPr="00DF16E1">
        <w:rPr>
          <w:rFonts w:eastAsia="Times New Roman" w:cs="Times New Roman"/>
          <w:b/>
          <w:bCs/>
          <w:lang w:val="en" w:eastAsia="en-AU"/>
        </w:rPr>
        <w:t>Stage 1 – Testing</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relevant regulatory agency undertakes testing themselves or organises it to be undertaken via notice to the person conducting a business or undertaking (PCBU). The most suitable option would be determined based on the level of cooperation by the PCBU as well as the level of risk etc.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3585"/>
      </w:tblGrid>
      <w:tr w:rsidR="00DF16E1" w:rsidRPr="00DF16E1" w:rsidTr="00E53B84">
        <w:tc>
          <w:tcPr>
            <w:tcW w:w="163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b/>
                <w:bCs/>
                <w:lang w:eastAsia="en-AU"/>
              </w:rPr>
              <w:t xml:space="preserve">Time          </w:t>
            </w:r>
          </w:p>
        </w:tc>
        <w:tc>
          <w:tcPr>
            <w:tcW w:w="358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b/>
                <w:bCs/>
                <w:lang w:eastAsia="en-AU"/>
              </w:rPr>
              <w:t>Coordinator</w:t>
            </w:r>
          </w:p>
        </w:tc>
      </w:tr>
      <w:tr w:rsidR="00DF16E1" w:rsidRPr="00DF16E1" w:rsidTr="00E53B84">
        <w:tc>
          <w:tcPr>
            <w:tcW w:w="163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lang w:eastAsia="en-AU"/>
              </w:rPr>
              <w:t>Pre-Border</w:t>
            </w:r>
          </w:p>
        </w:tc>
        <w:tc>
          <w:tcPr>
            <w:tcW w:w="358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1D1CBB">
            <w:pPr>
              <w:spacing w:before="100" w:beforeAutospacing="1" w:after="100" w:afterAutospacing="1" w:line="240" w:lineRule="auto"/>
              <w:rPr>
                <w:rFonts w:eastAsia="Times New Roman" w:cs="Times New Roman"/>
                <w:lang w:eastAsia="en-AU"/>
              </w:rPr>
            </w:pPr>
            <w:r w:rsidRPr="00DF16E1">
              <w:rPr>
                <w:rFonts w:eastAsia="Times New Roman" w:cs="Times New Roman"/>
                <w:lang w:eastAsia="en-AU"/>
              </w:rPr>
              <w:t xml:space="preserve">Department of </w:t>
            </w:r>
            <w:r w:rsidR="001D1CBB">
              <w:rPr>
                <w:rFonts w:eastAsia="Times New Roman" w:cs="Times New Roman"/>
                <w:lang w:eastAsia="en-AU"/>
              </w:rPr>
              <w:t>Home Affairs</w:t>
            </w:r>
          </w:p>
        </w:tc>
      </w:tr>
      <w:tr w:rsidR="00DF16E1" w:rsidRPr="00DF16E1" w:rsidTr="00E53B84">
        <w:tc>
          <w:tcPr>
            <w:tcW w:w="163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lang w:eastAsia="en-AU"/>
              </w:rPr>
              <w:t>Held at Border</w:t>
            </w:r>
          </w:p>
        </w:tc>
        <w:tc>
          <w:tcPr>
            <w:tcW w:w="358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1D1CBB" w:rsidP="001D1CBB">
            <w:pPr>
              <w:spacing w:before="100" w:beforeAutospacing="1" w:after="100" w:afterAutospacing="1" w:line="240" w:lineRule="auto"/>
              <w:rPr>
                <w:rFonts w:eastAsia="Times New Roman" w:cs="Times New Roman"/>
                <w:lang w:eastAsia="en-AU"/>
              </w:rPr>
            </w:pPr>
            <w:r>
              <w:rPr>
                <w:rFonts w:eastAsia="Times New Roman" w:cs="Times New Roman"/>
                <w:lang w:eastAsia="en-AU"/>
              </w:rPr>
              <w:t>Department of Home Affairs</w:t>
            </w:r>
          </w:p>
        </w:tc>
      </w:tr>
      <w:tr w:rsidR="00DF16E1" w:rsidRPr="00DF16E1" w:rsidTr="00E53B84">
        <w:tc>
          <w:tcPr>
            <w:tcW w:w="163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lang w:eastAsia="en-AU"/>
              </w:rPr>
              <w:t>Post-Border</w:t>
            </w:r>
          </w:p>
        </w:tc>
        <w:tc>
          <w:tcPr>
            <w:tcW w:w="3585" w:type="dxa"/>
            <w:tcBorders>
              <w:top w:val="outset" w:sz="6" w:space="0" w:color="auto"/>
              <w:left w:val="outset" w:sz="6" w:space="0" w:color="auto"/>
              <w:bottom w:val="outset" w:sz="6" w:space="0" w:color="auto"/>
              <w:right w:val="outset" w:sz="6" w:space="0" w:color="auto"/>
            </w:tcBorders>
            <w:vAlign w:val="center"/>
            <w:hideMark/>
          </w:tcPr>
          <w:p w:rsidR="00DF16E1" w:rsidRPr="00DF16E1" w:rsidRDefault="00DF16E1" w:rsidP="00E53B84">
            <w:pPr>
              <w:spacing w:before="100" w:beforeAutospacing="1" w:after="100" w:afterAutospacing="1" w:line="240" w:lineRule="auto"/>
              <w:rPr>
                <w:rFonts w:eastAsia="Times New Roman" w:cs="Times New Roman"/>
                <w:lang w:eastAsia="en-AU"/>
              </w:rPr>
            </w:pPr>
            <w:r w:rsidRPr="00DF16E1">
              <w:rPr>
                <w:rFonts w:eastAsia="Times New Roman" w:cs="Times New Roman"/>
                <w:lang w:eastAsia="en-AU"/>
              </w:rPr>
              <w:t>Relevant WHS regulator or the ACCC</w:t>
            </w:r>
          </w:p>
        </w:tc>
      </w:tr>
    </w:tbl>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lastRenderedPageBreak/>
        <w:t>Working Group members should also be advised of negative results as soon as possible to avoid further re-testing undertaken by other Working Group members. Where results confirm the presence of asbestos, members should move to Stage 2.</w:t>
      </w:r>
    </w:p>
    <w:p w:rsidR="00DF16E1" w:rsidRPr="00DF16E1" w:rsidRDefault="00CC41A6" w:rsidP="00DF16E1">
      <w:pPr>
        <w:spacing w:before="100" w:beforeAutospacing="1" w:after="100" w:afterAutospacing="1" w:line="240" w:lineRule="auto"/>
        <w:outlineLvl w:val="2"/>
        <w:rPr>
          <w:rFonts w:eastAsia="Times New Roman" w:cs="Times New Roman"/>
          <w:b/>
          <w:bCs/>
          <w:lang w:val="en" w:eastAsia="en-AU"/>
        </w:rPr>
      </w:pPr>
      <w:r>
        <w:rPr>
          <w:rFonts w:eastAsia="Times New Roman" w:cs="Times New Roman"/>
          <w:b/>
          <w:bCs/>
          <w:lang w:val="en" w:eastAsia="en-AU"/>
        </w:rPr>
        <w:t>Stage 2 – Risk a</w:t>
      </w:r>
      <w:r w:rsidR="00DF16E1" w:rsidRPr="00DF16E1">
        <w:rPr>
          <w:rFonts w:eastAsia="Times New Roman" w:cs="Times New Roman"/>
          <w:b/>
          <w:bCs/>
          <w:lang w:val="en" w:eastAsia="en-AU"/>
        </w:rPr>
        <w:t>ssessment</w:t>
      </w:r>
    </w:p>
    <w:p w:rsidR="00DF16E1" w:rsidRPr="00DF16E1" w:rsidRDefault="00CC41A6" w:rsidP="00DF16E1">
      <w:pPr>
        <w:spacing w:before="100" w:beforeAutospacing="1" w:after="100" w:afterAutospacing="1" w:line="240" w:lineRule="auto"/>
        <w:rPr>
          <w:rFonts w:eastAsia="Times New Roman" w:cs="Times New Roman"/>
          <w:lang w:val="en" w:eastAsia="en-AU"/>
        </w:rPr>
      </w:pPr>
      <w:r>
        <w:rPr>
          <w:rFonts w:eastAsia="Times New Roman" w:cs="Times New Roman"/>
          <w:b/>
          <w:bCs/>
          <w:lang w:val="en" w:eastAsia="en-AU"/>
        </w:rPr>
        <w:t>During risk assessment, there are three Elements to consider: nature, scale and s</w:t>
      </w:r>
      <w:r w:rsidR="00DF16E1" w:rsidRPr="00DF16E1">
        <w:rPr>
          <w:rFonts w:eastAsia="Times New Roman" w:cs="Times New Roman"/>
          <w:b/>
          <w:bCs/>
          <w:lang w:val="en" w:eastAsia="en-AU"/>
        </w:rPr>
        <w:t>cope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Investigation is necessary to collate the information below to inform the level and extent of response required.</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t>Nature – What type of risk is posed by the goods?</w:t>
      </w:r>
    </w:p>
    <w:p w:rsidR="00DF16E1" w:rsidRPr="00DF16E1" w:rsidRDefault="00DF16E1" w:rsidP="00CC41A6">
      <w:pPr>
        <w:numPr>
          <w:ilvl w:val="0"/>
          <w:numId w:val="19"/>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Are the goods of high risk to persons – is the asbestos friable in nature?</w:t>
      </w:r>
    </w:p>
    <w:p w:rsidR="00DF16E1" w:rsidRPr="00DF16E1" w:rsidRDefault="00DF16E1" w:rsidP="00CC41A6">
      <w:pPr>
        <w:numPr>
          <w:ilvl w:val="0"/>
          <w:numId w:val="19"/>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Are the goods likely to continue to be imported?</w:t>
      </w:r>
    </w:p>
    <w:p w:rsidR="00DF16E1" w:rsidRPr="00DF16E1" w:rsidRDefault="00DF16E1" w:rsidP="00CC41A6">
      <w:pPr>
        <w:numPr>
          <w:ilvl w:val="0"/>
          <w:numId w:val="19"/>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Are asbestos particles/fibres likely to be readily disturbed?</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t>Scale – What is the extent of the risk?</w:t>
      </w:r>
    </w:p>
    <w:p w:rsidR="00DF16E1" w:rsidRPr="00DF16E1" w:rsidRDefault="00DF16E1" w:rsidP="00CC41A6">
      <w:pPr>
        <w:numPr>
          <w:ilvl w:val="0"/>
          <w:numId w:val="2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How many jurisdictions have the goods been identified in?</w:t>
      </w:r>
    </w:p>
    <w:p w:rsidR="00DF16E1" w:rsidRPr="00DF16E1" w:rsidRDefault="00DF16E1" w:rsidP="00CC41A6">
      <w:pPr>
        <w:numPr>
          <w:ilvl w:val="0"/>
          <w:numId w:val="2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Are the goods in mainstream consumption? For example, are the goods likely to be in both workplaces and within the general public?</w:t>
      </w:r>
    </w:p>
    <w:p w:rsidR="00DF16E1" w:rsidRPr="00DF16E1" w:rsidRDefault="00DF16E1" w:rsidP="00CC41A6">
      <w:pPr>
        <w:numPr>
          <w:ilvl w:val="0"/>
          <w:numId w:val="2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What is the estimated number of units imported?</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t>Scope – Is the risk increasing?</w:t>
      </w:r>
    </w:p>
    <w:p w:rsidR="00DF16E1" w:rsidRPr="00CC41A6" w:rsidRDefault="00DF16E1" w:rsidP="00CC41A6">
      <w:pPr>
        <w:pStyle w:val="ListParagraph"/>
        <w:numPr>
          <w:ilvl w:val="0"/>
          <w:numId w:val="21"/>
        </w:numPr>
        <w:spacing w:before="100" w:beforeAutospacing="1" w:after="100" w:afterAutospacing="1" w:line="240" w:lineRule="auto"/>
        <w:rPr>
          <w:rFonts w:eastAsia="Times New Roman" w:cs="Times New Roman"/>
          <w:lang w:val="en" w:eastAsia="en-AU"/>
        </w:rPr>
      </w:pPr>
      <w:r w:rsidRPr="00CC41A6">
        <w:rPr>
          <w:rFonts w:eastAsia="Times New Roman" w:cs="Times New Roman"/>
          <w:lang w:val="en" w:eastAsia="en-AU"/>
        </w:rPr>
        <w:t>Were the goods imported? If so, who was the importer and the supplier?</w:t>
      </w:r>
    </w:p>
    <w:p w:rsidR="00DF16E1" w:rsidRPr="00CC41A6" w:rsidRDefault="00DF16E1" w:rsidP="00CC41A6">
      <w:pPr>
        <w:pStyle w:val="ListParagraph"/>
        <w:numPr>
          <w:ilvl w:val="0"/>
          <w:numId w:val="21"/>
        </w:numPr>
        <w:spacing w:before="100" w:beforeAutospacing="1" w:after="100" w:afterAutospacing="1" w:line="240" w:lineRule="auto"/>
        <w:rPr>
          <w:rFonts w:eastAsia="Times New Roman" w:cs="Times New Roman"/>
          <w:lang w:val="en" w:eastAsia="en-AU"/>
        </w:rPr>
      </w:pPr>
      <w:r w:rsidRPr="00CC41A6">
        <w:rPr>
          <w:rFonts w:eastAsia="Times New Roman" w:cs="Times New Roman"/>
          <w:lang w:val="en" w:eastAsia="en-AU"/>
        </w:rPr>
        <w:t>Are the goods likely to continue to be imported?</w:t>
      </w:r>
    </w:p>
    <w:p w:rsidR="00DF16E1" w:rsidRPr="00DF16E1" w:rsidRDefault="00DF16E1" w:rsidP="00DF16E1">
      <w:pPr>
        <w:spacing w:before="100" w:beforeAutospacing="1" w:after="100" w:afterAutospacing="1" w:line="240" w:lineRule="auto"/>
        <w:outlineLvl w:val="2"/>
        <w:rPr>
          <w:rFonts w:eastAsia="Times New Roman" w:cs="Times New Roman"/>
          <w:b/>
          <w:bCs/>
          <w:lang w:val="en" w:eastAsia="en-AU"/>
        </w:rPr>
      </w:pPr>
      <w:r w:rsidRPr="00DF16E1">
        <w:rPr>
          <w:rFonts w:eastAsia="Times New Roman" w:cs="Times New Roman"/>
          <w:b/>
          <w:bCs/>
          <w:lang w:val="en" w:eastAsia="en-AU"/>
        </w:rPr>
        <w:t>Stage 3 – Response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agency or authority which first detected the issue will assess the level of risk using the above factors as a guide. Specific response actions will need to be determined on a case-by-case basis following initial investigation. The factors outlined above should be used as a guide only. Depending on the level of risk, the actions below may be considered appropriate: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t>High Risk:</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Where risk is considered high, all members of the Working Group and other relevant regulatory authorities will be involved in implementing the response.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response will likely involve:</w:t>
      </w:r>
    </w:p>
    <w:p w:rsidR="00DF16E1" w:rsidRPr="00DF16E1" w:rsidRDefault="00DF16E1" w:rsidP="00DF16E1">
      <w:pPr>
        <w:numPr>
          <w:ilvl w:val="0"/>
          <w:numId w:val="1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nation-wide recall provisions administered by the ACCC</w:t>
      </w:r>
      <w:r w:rsidR="001D1CBB">
        <w:rPr>
          <w:rFonts w:eastAsia="Times New Roman" w:cs="Times New Roman"/>
          <w:lang w:val="en" w:eastAsia="en-AU"/>
        </w:rPr>
        <w:t xml:space="preserve"> (consumer goods only),</w:t>
      </w:r>
    </w:p>
    <w:p w:rsidR="00DF16E1" w:rsidRPr="00DF16E1" w:rsidRDefault="00DF16E1" w:rsidP="00DF16E1">
      <w:pPr>
        <w:numPr>
          <w:ilvl w:val="0"/>
          <w:numId w:val="1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Department of </w:t>
      </w:r>
      <w:r w:rsidR="001D1CBB">
        <w:rPr>
          <w:rFonts w:eastAsia="Times New Roman" w:cs="Times New Roman"/>
          <w:lang w:val="en" w:eastAsia="en-AU"/>
        </w:rPr>
        <w:t>Home Affairs</w:t>
      </w:r>
      <w:r w:rsidRPr="00DF16E1">
        <w:rPr>
          <w:rFonts w:eastAsia="Times New Roman" w:cs="Times New Roman"/>
          <w:lang w:val="en" w:eastAsia="en-AU"/>
        </w:rPr>
        <w:t xml:space="preserve"> Compliance Assurance (national targeting and o</w:t>
      </w:r>
      <w:r w:rsidR="001D1CBB">
        <w:rPr>
          <w:rFonts w:eastAsia="Times New Roman" w:cs="Times New Roman"/>
          <w:lang w:val="en" w:eastAsia="en-AU"/>
        </w:rPr>
        <w:t>utreach) activity at the border,</w:t>
      </w:r>
    </w:p>
    <w:p w:rsidR="00DF16E1" w:rsidRPr="00DF16E1" w:rsidRDefault="00DF16E1" w:rsidP="00DF16E1">
      <w:pPr>
        <w:numPr>
          <w:ilvl w:val="0"/>
          <w:numId w:val="1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po</w:t>
      </w:r>
      <w:r w:rsidR="001D1CBB">
        <w:rPr>
          <w:rFonts w:eastAsia="Times New Roman" w:cs="Times New Roman"/>
          <w:lang w:val="en" w:eastAsia="en-AU"/>
        </w:rPr>
        <w:t>tential prosecution of importer,</w:t>
      </w:r>
    </w:p>
    <w:p w:rsidR="00DF16E1" w:rsidRPr="00DF16E1" w:rsidRDefault="00DF16E1" w:rsidP="00DF16E1">
      <w:pPr>
        <w:numPr>
          <w:ilvl w:val="0"/>
          <w:numId w:val="10"/>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regulatory activity enacted by all state and territory work, health and safety authorities.</w:t>
      </w:r>
    </w:p>
    <w:p w:rsidR="001D1CBB" w:rsidRDefault="001D1CBB" w:rsidP="00DF16E1">
      <w:pPr>
        <w:spacing w:before="100" w:beforeAutospacing="1" w:after="100" w:afterAutospacing="1" w:line="240" w:lineRule="auto"/>
        <w:rPr>
          <w:rFonts w:eastAsia="Times New Roman" w:cs="Times New Roman"/>
          <w:b/>
          <w:bCs/>
          <w:lang w:val="en" w:eastAsia="en-AU"/>
        </w:rPr>
      </w:pP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lastRenderedPageBreak/>
        <w:t>Medium Risk:</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Where risk is considered medium, relevant members of the Working Group and other relevant regulatory authorities will likely be involved in implementing the response.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The response will likely involve:</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smaller-scale recalls administered by</w:t>
      </w:r>
      <w:r w:rsidR="001D1CBB">
        <w:rPr>
          <w:rFonts w:eastAsia="Times New Roman" w:cs="Times New Roman"/>
          <w:lang w:val="en" w:eastAsia="en-AU"/>
        </w:rPr>
        <w:t xml:space="preserve"> the ACCC (consumer goods only),</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Department of </w:t>
      </w:r>
      <w:r w:rsidR="001D1CBB">
        <w:rPr>
          <w:rFonts w:eastAsia="Times New Roman" w:cs="Times New Roman"/>
          <w:lang w:val="en" w:eastAsia="en-AU"/>
        </w:rPr>
        <w:t>Home Affairs</w:t>
      </w:r>
      <w:r w:rsidRPr="00DF16E1">
        <w:rPr>
          <w:rFonts w:eastAsia="Times New Roman" w:cs="Times New Roman"/>
          <w:lang w:val="en" w:eastAsia="en-AU"/>
        </w:rPr>
        <w:t xml:space="preserve"> Compliance Assurance (national targeting and o</w:t>
      </w:r>
      <w:r w:rsidR="001D1CBB">
        <w:rPr>
          <w:rFonts w:eastAsia="Times New Roman" w:cs="Times New Roman"/>
          <w:lang w:val="en" w:eastAsia="en-AU"/>
        </w:rPr>
        <w:t>utreach) activity at the border,</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regulatory activity enacted by all state and territory work, health and safety authorities.</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notification</w:t>
      </w:r>
      <w:r w:rsidR="001D1CBB">
        <w:rPr>
          <w:rFonts w:eastAsia="Times New Roman" w:cs="Times New Roman"/>
          <w:lang w:val="en" w:eastAsia="en-AU"/>
        </w:rPr>
        <w:t xml:space="preserve"> to other Working Group members,</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if tests are negative, this could inform the group if future referr</w:t>
      </w:r>
      <w:r w:rsidR="001D1CBB">
        <w:rPr>
          <w:rFonts w:eastAsia="Times New Roman" w:cs="Times New Roman"/>
          <w:lang w:val="en" w:eastAsia="en-AU"/>
        </w:rPr>
        <w:t>als or allegations are received,</w:t>
      </w:r>
    </w:p>
    <w:p w:rsidR="00DF16E1" w:rsidRPr="00DF16E1" w:rsidRDefault="00DF16E1" w:rsidP="00DF16E1">
      <w:pPr>
        <w:numPr>
          <w:ilvl w:val="0"/>
          <w:numId w:val="11"/>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response to be actioned by relevant Regulatory authorities.</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b/>
          <w:bCs/>
          <w:lang w:val="en" w:eastAsia="en-AU"/>
        </w:rPr>
        <w:t>Low Risk:</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Where risk is considered low, the response will likely involve:</w:t>
      </w:r>
    </w:p>
    <w:p w:rsidR="00DF16E1" w:rsidRPr="00DF16E1" w:rsidRDefault="00DF16E1" w:rsidP="00DF16E1">
      <w:pPr>
        <w:numPr>
          <w:ilvl w:val="0"/>
          <w:numId w:val="12"/>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notification</w:t>
      </w:r>
      <w:r w:rsidR="001D1CBB">
        <w:rPr>
          <w:rFonts w:eastAsia="Times New Roman" w:cs="Times New Roman"/>
          <w:lang w:val="en" w:eastAsia="en-AU"/>
        </w:rPr>
        <w:t xml:space="preserve"> to other Working Group members,</w:t>
      </w:r>
    </w:p>
    <w:p w:rsidR="00DF16E1" w:rsidRPr="00DF16E1" w:rsidRDefault="00DF16E1" w:rsidP="00DF16E1">
      <w:pPr>
        <w:numPr>
          <w:ilvl w:val="0"/>
          <w:numId w:val="12"/>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if tests are negative, this could inform the group if future referrals or allegations are received.</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When to involve the Australian Competition and Consumer Commission (ACCC)</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If asbestos</w:t>
      </w:r>
      <w:r w:rsidR="00A2482C">
        <w:rPr>
          <w:rFonts w:eastAsia="Times New Roman" w:cs="Times New Roman"/>
          <w:lang w:val="en" w:eastAsia="en-AU"/>
        </w:rPr>
        <w:t xml:space="preserve"> is confirmed in a consumer product</w:t>
      </w:r>
      <w:r w:rsidRPr="00DF16E1">
        <w:rPr>
          <w:rFonts w:eastAsia="Times New Roman" w:cs="Times New Roman"/>
          <w:lang w:val="en" w:eastAsia="en-AU"/>
        </w:rPr>
        <w:t xml:space="preserve"> that was supplied in trade or commerce, the ACCC should be informed and involved in any response.</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However, the following should be noted:</w:t>
      </w:r>
    </w:p>
    <w:p w:rsidR="00DF16E1" w:rsidRPr="00A2482C" w:rsidRDefault="00DF16E1" w:rsidP="00A2482C">
      <w:pPr>
        <w:numPr>
          <w:ilvl w:val="0"/>
          <w:numId w:val="1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consumer goods are those for personal, household or domestic use, including fixtures in buildings, even if they may also be for industrial use. </w:t>
      </w:r>
      <w:r w:rsidR="00A2482C">
        <w:rPr>
          <w:rFonts w:eastAsia="Times New Roman" w:cs="Times New Roman"/>
          <w:lang w:val="en" w:eastAsia="en-AU"/>
        </w:rPr>
        <w:t>(T</w:t>
      </w:r>
      <w:r w:rsidRPr="00A2482C">
        <w:rPr>
          <w:rFonts w:eastAsia="Times New Roman" w:cs="Times New Roman"/>
          <w:lang w:val="en" w:eastAsia="en-AU"/>
        </w:rPr>
        <w:t>his applies regardless of whether the goods were impor</w:t>
      </w:r>
      <w:r w:rsidR="00A2482C">
        <w:rPr>
          <w:rFonts w:eastAsia="Times New Roman" w:cs="Times New Roman"/>
          <w:lang w:val="en" w:eastAsia="en-AU"/>
        </w:rPr>
        <w:t>t</w:t>
      </w:r>
      <w:r w:rsidR="001D1CBB">
        <w:rPr>
          <w:rFonts w:eastAsia="Times New Roman" w:cs="Times New Roman"/>
          <w:lang w:val="en" w:eastAsia="en-AU"/>
        </w:rPr>
        <w:t>ed or sourced within Australia),</w:t>
      </w:r>
    </w:p>
    <w:p w:rsidR="00DF16E1" w:rsidRPr="00A2482C" w:rsidRDefault="00DF16E1" w:rsidP="00A2482C">
      <w:pPr>
        <w:numPr>
          <w:ilvl w:val="0"/>
          <w:numId w:val="1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if the goods are also covered by another specialist regulator (e.g. motor vehicles) then the ACCC would also seek to involve that regulator. </w:t>
      </w:r>
      <w:r w:rsidR="00A2482C">
        <w:rPr>
          <w:rFonts w:eastAsia="Times New Roman" w:cs="Times New Roman"/>
          <w:lang w:val="en" w:eastAsia="en-AU"/>
        </w:rPr>
        <w:t>(E</w:t>
      </w:r>
      <w:r w:rsidRPr="00A2482C">
        <w:rPr>
          <w:rFonts w:eastAsia="Times New Roman" w:cs="Times New Roman"/>
          <w:lang w:val="en" w:eastAsia="en-AU"/>
        </w:rPr>
        <w:t>xamples include watercraft, cars, pumps, lawnmowers, home-wares, electrical appliances, domestic landscaping supplies, domestic animal food, DIY building supplies, etc.</w:t>
      </w:r>
      <w:r w:rsidR="00A2482C">
        <w:rPr>
          <w:rFonts w:eastAsia="Times New Roman" w:cs="Times New Roman"/>
          <w:lang w:val="en" w:eastAsia="en-AU"/>
        </w:rPr>
        <w:t>)</w:t>
      </w:r>
      <w:r w:rsidR="001D1CBB">
        <w:rPr>
          <w:rFonts w:eastAsia="Times New Roman" w:cs="Times New Roman"/>
          <w:lang w:val="en" w:eastAsia="en-AU"/>
        </w:rPr>
        <w:t>,</w:t>
      </w:r>
    </w:p>
    <w:p w:rsidR="00DF16E1" w:rsidRPr="00DF16E1" w:rsidRDefault="00DF16E1" w:rsidP="00DF16E1">
      <w:pPr>
        <w:numPr>
          <w:ilvl w:val="0"/>
          <w:numId w:val="13"/>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goods supplied to consumers before the asbestos was prohibited would not involve the ACCC since there are other government programs in place to address those hazards (for example, asbestos in gaskets in old vehicles and motors, asbestos in wall sheeting and installed in homes before the relevant prohibitions).</w:t>
      </w:r>
    </w:p>
    <w:p w:rsidR="00DF16E1" w:rsidRPr="00DF16E1" w:rsidRDefault="00A2482C" w:rsidP="00DF16E1">
      <w:pPr>
        <w:spacing w:before="100" w:beforeAutospacing="1" w:after="100" w:afterAutospacing="1" w:line="240" w:lineRule="auto"/>
        <w:rPr>
          <w:rFonts w:eastAsia="Times New Roman" w:cs="Times New Roman"/>
          <w:lang w:val="en" w:eastAsia="en-AU"/>
        </w:rPr>
      </w:pPr>
      <w:r>
        <w:rPr>
          <w:rFonts w:eastAsia="Times New Roman" w:cs="Times New Roman"/>
          <w:lang w:val="en" w:eastAsia="en-AU"/>
        </w:rPr>
        <w:t xml:space="preserve">NOTE: </w:t>
      </w:r>
      <w:r w:rsidR="00DF16E1" w:rsidRPr="00DF16E1">
        <w:rPr>
          <w:rFonts w:eastAsia="Times New Roman" w:cs="Times New Roman"/>
          <w:lang w:val="en" w:eastAsia="en-AU"/>
        </w:rPr>
        <w:t>The ACCC administers the product safety provisions of the Australian Consumer Law including the recall provisions governing how recalls should be conducted – so it is important to involve the ACCC whenever goods with asbestos have been supplied to consumers, even if this is in relatively small quantities and even if the goods have only been distributed in one jurisdiction or location.</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 xml:space="preserve">When to involve the Department of </w:t>
      </w:r>
      <w:r w:rsidR="001D1CBB">
        <w:rPr>
          <w:rFonts w:eastAsia="Times New Roman" w:cs="Times New Roman"/>
          <w:b/>
          <w:bCs/>
          <w:lang w:val="en" w:eastAsia="en-AU"/>
        </w:rPr>
        <w:t>Home Affairs</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The Department of </w:t>
      </w:r>
      <w:r w:rsidR="001D1CBB">
        <w:rPr>
          <w:rFonts w:eastAsia="Times New Roman" w:cs="Times New Roman"/>
          <w:lang w:val="en" w:eastAsia="en-AU"/>
        </w:rPr>
        <w:t>Home Affairs</w:t>
      </w:r>
      <w:r w:rsidRPr="00DF16E1">
        <w:rPr>
          <w:rFonts w:eastAsia="Times New Roman" w:cs="Times New Roman"/>
          <w:lang w:val="en" w:eastAsia="en-AU"/>
        </w:rPr>
        <w:t xml:space="preserve"> should be informed and involved in the Protocol if ACMs are:</w:t>
      </w:r>
    </w:p>
    <w:p w:rsidR="00DF16E1" w:rsidRPr="00DF16E1" w:rsidRDefault="00DF16E1" w:rsidP="00DF16E1">
      <w:pPr>
        <w:numPr>
          <w:ilvl w:val="0"/>
          <w:numId w:val="1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lastRenderedPageBreak/>
        <w:t>confirmed in go</w:t>
      </w:r>
      <w:r w:rsidR="001D1CBB">
        <w:rPr>
          <w:rFonts w:eastAsia="Times New Roman" w:cs="Times New Roman"/>
          <w:lang w:val="en" w:eastAsia="en-AU"/>
        </w:rPr>
        <w:t>ods known to have been imported,</w:t>
      </w:r>
    </w:p>
    <w:p w:rsidR="00DF16E1" w:rsidRPr="00DF16E1" w:rsidRDefault="00DF16E1" w:rsidP="00DF16E1">
      <w:pPr>
        <w:numPr>
          <w:ilvl w:val="0"/>
          <w:numId w:val="1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confirmed in possession of a person or company that regularly </w:t>
      </w:r>
      <w:r w:rsidR="001D1CBB">
        <w:rPr>
          <w:rFonts w:eastAsia="Times New Roman" w:cs="Times New Roman"/>
          <w:lang w:val="en" w:eastAsia="en-AU"/>
        </w:rPr>
        <w:t>trades internationally,</w:t>
      </w:r>
    </w:p>
    <w:p w:rsidR="00DF16E1" w:rsidRPr="00DF16E1" w:rsidRDefault="00DF16E1" w:rsidP="00DF16E1">
      <w:pPr>
        <w:numPr>
          <w:ilvl w:val="0"/>
          <w:numId w:val="1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confirmed in goods which may have </w:t>
      </w:r>
      <w:r w:rsidR="001D1CBB">
        <w:rPr>
          <w:rFonts w:eastAsia="Times New Roman" w:cs="Times New Roman"/>
          <w:lang w:val="en" w:eastAsia="en-AU"/>
        </w:rPr>
        <w:t>similar products being imported,</w:t>
      </w:r>
    </w:p>
    <w:p w:rsidR="00DF16E1" w:rsidRPr="00DF16E1" w:rsidRDefault="00DF16E1" w:rsidP="00DF16E1">
      <w:pPr>
        <w:numPr>
          <w:ilvl w:val="0"/>
          <w:numId w:val="14"/>
        </w:num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suspected in goods which are likely to be imported (possibly from international referral).</w:t>
      </w:r>
    </w:p>
    <w:p w:rsidR="00E02370"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The Department of </w:t>
      </w:r>
      <w:r w:rsidR="001D1CBB">
        <w:rPr>
          <w:rFonts w:eastAsia="Times New Roman" w:cs="Times New Roman"/>
          <w:lang w:val="en" w:eastAsia="en-AU"/>
        </w:rPr>
        <w:t>Home Affairs’</w:t>
      </w:r>
      <w:r w:rsidRPr="00DF16E1">
        <w:rPr>
          <w:rFonts w:eastAsia="Times New Roman" w:cs="Times New Roman"/>
          <w:lang w:val="en" w:eastAsia="en-AU"/>
        </w:rPr>
        <w:t xml:space="preserve"> involvement will vary based on a tiered differentiate</w:t>
      </w:r>
      <w:r w:rsidR="00C506EB">
        <w:rPr>
          <w:rFonts w:eastAsia="Times New Roman" w:cs="Times New Roman"/>
          <w:lang w:val="en" w:eastAsia="en-AU"/>
        </w:rPr>
        <w:t>d risk response but can include</w:t>
      </w:r>
      <w:r w:rsidR="00E02370">
        <w:rPr>
          <w:rFonts w:eastAsia="Times New Roman" w:cs="Times New Roman"/>
          <w:lang w:val="en" w:eastAsia="en-AU"/>
        </w:rPr>
        <w:t xml:space="preserve"> the following:</w:t>
      </w:r>
    </w:p>
    <w:p w:rsid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 xml:space="preserve">data analysis of import/export history, </w:t>
      </w:r>
    </w:p>
    <w:p w:rsid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 xml:space="preserve">outreach to entities, customs brokers, industry sectors and industry groups, </w:t>
      </w:r>
    </w:p>
    <w:p w:rsid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 xml:space="preserve">auditing or interviewing of importers/exporters for trade and sales history, </w:t>
      </w:r>
    </w:p>
    <w:p w:rsid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 xml:space="preserve">coordinating sampling and testing of goods at the border, </w:t>
      </w:r>
    </w:p>
    <w:p w:rsid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 xml:space="preserve">stopping consignments and issuing penalties for imports in confirmed cases (prohibited import offences are strict liability), </w:t>
      </w:r>
    </w:p>
    <w:p w:rsidR="00DF16E1" w:rsidRPr="00E02370" w:rsidRDefault="00DF16E1" w:rsidP="00E02370">
      <w:pPr>
        <w:pStyle w:val="ListParagraph"/>
        <w:numPr>
          <w:ilvl w:val="0"/>
          <w:numId w:val="22"/>
        </w:numPr>
        <w:spacing w:before="100" w:beforeAutospacing="1" w:after="100" w:afterAutospacing="1" w:line="240" w:lineRule="auto"/>
        <w:rPr>
          <w:rFonts w:eastAsia="Times New Roman" w:cs="Times New Roman"/>
          <w:lang w:val="en" w:eastAsia="en-AU"/>
        </w:rPr>
      </w:pPr>
      <w:r w:rsidRPr="00E02370">
        <w:rPr>
          <w:rFonts w:eastAsia="Times New Roman" w:cs="Times New Roman"/>
          <w:lang w:val="en" w:eastAsia="en-AU"/>
        </w:rPr>
        <w:t>investigation and prosecution of cases.</w:t>
      </w:r>
    </w:p>
    <w:p w:rsidR="00DF16E1" w:rsidRPr="00DF16E1" w:rsidRDefault="00DF16E1" w:rsidP="00DF16E1">
      <w:pPr>
        <w:spacing w:before="100" w:beforeAutospacing="1" w:after="100" w:afterAutospacing="1" w:line="240" w:lineRule="auto"/>
        <w:outlineLvl w:val="1"/>
        <w:rPr>
          <w:rFonts w:eastAsia="Times New Roman" w:cs="Times New Roman"/>
          <w:b/>
          <w:bCs/>
          <w:lang w:val="en" w:eastAsia="en-AU"/>
        </w:rPr>
      </w:pPr>
      <w:r w:rsidRPr="00DF16E1">
        <w:rPr>
          <w:rFonts w:eastAsia="Times New Roman" w:cs="Times New Roman"/>
          <w:b/>
          <w:bCs/>
          <w:lang w:val="en" w:eastAsia="en-AU"/>
        </w:rPr>
        <w:t>Reporting to HWSA</w:t>
      </w:r>
    </w:p>
    <w:p w:rsidR="00DF16E1" w:rsidRPr="00DF16E1" w:rsidRDefault="00DF16E1" w:rsidP="00DF16E1">
      <w:pPr>
        <w:spacing w:before="100" w:beforeAutospacing="1" w:after="100" w:afterAutospacing="1" w:line="240" w:lineRule="auto"/>
        <w:rPr>
          <w:rFonts w:eastAsia="Times New Roman" w:cs="Times New Roman"/>
          <w:lang w:val="en" w:eastAsia="en-AU"/>
        </w:rPr>
      </w:pPr>
      <w:r w:rsidRPr="00DF16E1">
        <w:rPr>
          <w:rFonts w:eastAsia="Times New Roman" w:cs="Times New Roman"/>
          <w:lang w:val="en" w:eastAsia="en-AU"/>
        </w:rPr>
        <w:t xml:space="preserve">Following the resolution of an incident involving the importation of ACMs, the Working Group will report back to HWSA through the Working Group Secretariat, by completing </w:t>
      </w:r>
      <w:r w:rsidRPr="005D40AA">
        <w:rPr>
          <w:rFonts w:eastAsia="Times New Roman" w:cs="Times New Roman"/>
          <w:lang w:val="en" w:eastAsia="en-AU"/>
        </w:rPr>
        <w:t>the pro forma template at Appendix A. The</w:t>
      </w:r>
      <w:r w:rsidRPr="00DF16E1">
        <w:rPr>
          <w:rFonts w:eastAsia="Times New Roman" w:cs="Times New Roman"/>
          <w:lang w:val="en" w:eastAsia="en-AU"/>
        </w:rPr>
        <w:t xml:space="preserve"> agency or authority which first detected the issue will take the lead in completing the pro forma. The pro forma will include details of the incident such as when the issue was first detected, the types of goods involved, the jurisdictions that have been impacted, the actions taken to address the issues by the relevant regulators as well as any action taken to prevent futur</w:t>
      </w:r>
      <w:r w:rsidR="00C506EB">
        <w:rPr>
          <w:rFonts w:eastAsia="Times New Roman" w:cs="Times New Roman"/>
          <w:lang w:val="en" w:eastAsia="en-AU"/>
        </w:rPr>
        <w:t xml:space="preserve">e occurrences of the incident. </w:t>
      </w:r>
      <w:r w:rsidRPr="00DF16E1">
        <w:rPr>
          <w:rFonts w:eastAsia="Times New Roman" w:cs="Times New Roman"/>
          <w:lang w:val="en" w:eastAsia="en-AU"/>
        </w:rPr>
        <w:t>The Working Group will also report to HWSA periodically, on a quarterly basis.</w:t>
      </w:r>
    </w:p>
    <w:p w:rsidR="00DF16E1" w:rsidRDefault="00DF16E1"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2A7E16" w:rsidRDefault="002A7E16" w:rsidP="00C506EB">
      <w:pPr>
        <w:rPr>
          <w:b/>
          <w:bCs/>
          <w:u w:val="single"/>
        </w:rPr>
      </w:pPr>
    </w:p>
    <w:p w:rsidR="001D1CBB" w:rsidRDefault="001D1CBB" w:rsidP="002A7E16">
      <w:pPr>
        <w:autoSpaceDE w:val="0"/>
        <w:autoSpaceDN w:val="0"/>
        <w:adjustRightInd w:val="0"/>
        <w:spacing w:after="0" w:line="240" w:lineRule="auto"/>
        <w:rPr>
          <w:b/>
          <w:bCs/>
          <w:u w:val="single"/>
        </w:rPr>
      </w:pPr>
    </w:p>
    <w:p w:rsidR="002A7E16" w:rsidRPr="002A7E16" w:rsidRDefault="002A7E16" w:rsidP="002A7E16">
      <w:pPr>
        <w:autoSpaceDE w:val="0"/>
        <w:autoSpaceDN w:val="0"/>
        <w:adjustRightInd w:val="0"/>
        <w:spacing w:after="0" w:line="240" w:lineRule="auto"/>
        <w:rPr>
          <w:rFonts w:cs="Cambria"/>
          <w:b/>
          <w:bCs/>
          <w:color w:val="000000"/>
          <w:sz w:val="28"/>
          <w:szCs w:val="28"/>
          <w:u w:val="single"/>
        </w:rPr>
      </w:pPr>
      <w:bookmarkStart w:id="0" w:name="_GoBack"/>
      <w:bookmarkEnd w:id="0"/>
      <w:r w:rsidRPr="002A7E16">
        <w:rPr>
          <w:rFonts w:cs="Cambria"/>
          <w:b/>
          <w:bCs/>
          <w:color w:val="000000"/>
          <w:sz w:val="28"/>
          <w:szCs w:val="28"/>
          <w:u w:val="single"/>
        </w:rPr>
        <w:lastRenderedPageBreak/>
        <w:t xml:space="preserve">Appendix A </w:t>
      </w:r>
    </w:p>
    <w:p w:rsidR="002A7E16" w:rsidRPr="002A7E16" w:rsidRDefault="002A7E16" w:rsidP="002A7E16">
      <w:pPr>
        <w:autoSpaceDE w:val="0"/>
        <w:autoSpaceDN w:val="0"/>
        <w:adjustRightInd w:val="0"/>
        <w:spacing w:after="0" w:line="240" w:lineRule="auto"/>
        <w:rPr>
          <w:rFonts w:cs="Cambria"/>
          <w:color w:val="000000"/>
          <w:sz w:val="28"/>
          <w:szCs w:val="28"/>
        </w:rPr>
      </w:pPr>
    </w:p>
    <w:p w:rsidR="002A7E16" w:rsidRDefault="002A7E16" w:rsidP="002A7E16">
      <w:pPr>
        <w:autoSpaceDE w:val="0"/>
        <w:autoSpaceDN w:val="0"/>
        <w:adjustRightInd w:val="0"/>
        <w:spacing w:after="0" w:line="240" w:lineRule="auto"/>
        <w:rPr>
          <w:rFonts w:cs="Cambria"/>
          <w:b/>
          <w:bCs/>
          <w:color w:val="000000"/>
          <w:sz w:val="28"/>
          <w:szCs w:val="28"/>
        </w:rPr>
      </w:pPr>
      <w:r w:rsidRPr="002A7E16">
        <w:rPr>
          <w:rFonts w:cs="Cambria"/>
          <w:b/>
          <w:bCs/>
          <w:color w:val="000000"/>
          <w:sz w:val="28"/>
          <w:szCs w:val="28"/>
        </w:rPr>
        <w:t xml:space="preserve">Rapid Response Protocol Reporting Template </w:t>
      </w:r>
    </w:p>
    <w:p w:rsidR="002A7E16" w:rsidRPr="002A7E16" w:rsidRDefault="002A7E16" w:rsidP="002A7E16">
      <w:pPr>
        <w:autoSpaceDE w:val="0"/>
        <w:autoSpaceDN w:val="0"/>
        <w:adjustRightInd w:val="0"/>
        <w:spacing w:after="0" w:line="240" w:lineRule="auto"/>
        <w:rPr>
          <w:rFonts w:cs="Cambria"/>
          <w:color w:val="000000"/>
          <w:sz w:val="28"/>
          <w:szCs w:val="28"/>
        </w:rPr>
      </w:pPr>
    </w:p>
    <w:p w:rsidR="002A7E16" w:rsidRDefault="002A7E16" w:rsidP="002A7E16">
      <w:pPr>
        <w:autoSpaceDE w:val="0"/>
        <w:autoSpaceDN w:val="0"/>
        <w:adjustRightInd w:val="0"/>
        <w:spacing w:after="0" w:line="240" w:lineRule="auto"/>
        <w:rPr>
          <w:rFonts w:cs="Calibri"/>
          <w:color w:val="000000"/>
        </w:rPr>
      </w:pPr>
      <w:r w:rsidRPr="002A7E16">
        <w:rPr>
          <w:rFonts w:cs="Calibri"/>
          <w:color w:val="000000"/>
        </w:rPr>
        <w:t xml:space="preserve">The following template should be completed by Working Group members following the resolution of an incident. The agency or authority which first detected the issue will take the lead in completing the template. </w:t>
      </w:r>
    </w:p>
    <w:p w:rsidR="002A7E16" w:rsidRPr="002A7E16" w:rsidRDefault="002A7E16" w:rsidP="002A7E16">
      <w:pPr>
        <w:autoSpaceDE w:val="0"/>
        <w:autoSpaceDN w:val="0"/>
        <w:adjustRightInd w:val="0"/>
        <w:spacing w:after="0" w:line="240" w:lineRule="auto"/>
        <w:rPr>
          <w:rFonts w:cs="Calibri"/>
          <w:color w:val="000000"/>
        </w:rPr>
      </w:pPr>
    </w:p>
    <w:p w:rsidR="002A7E16" w:rsidRPr="002A7E16" w:rsidRDefault="002A7E16" w:rsidP="00C506EB">
      <w:r w:rsidRPr="002A7E16">
        <w:t>INCIDENTS INVOLVING IMPORTED MATERIALS CONTAINING ASBESTOS REPORT</w:t>
      </w:r>
    </w:p>
    <w:tbl>
      <w:tblPr>
        <w:tblStyle w:val="TableGrid"/>
        <w:tblW w:w="9427" w:type="dxa"/>
        <w:tblLook w:val="04A0" w:firstRow="1" w:lastRow="0" w:firstColumn="1" w:lastColumn="0" w:noHBand="0" w:noVBand="1"/>
      </w:tblPr>
      <w:tblGrid>
        <w:gridCol w:w="1885"/>
        <w:gridCol w:w="1885"/>
        <w:gridCol w:w="1885"/>
        <w:gridCol w:w="1886"/>
        <w:gridCol w:w="1886"/>
      </w:tblGrid>
      <w:tr w:rsidR="002A7E16" w:rsidTr="002A7E16">
        <w:trPr>
          <w:trHeight w:val="868"/>
        </w:trPr>
        <w:tc>
          <w:tcPr>
            <w:tcW w:w="1885" w:type="dxa"/>
          </w:tcPr>
          <w:p w:rsidR="002A7E16" w:rsidRPr="002A7E16" w:rsidRDefault="002A7E16" w:rsidP="00C506EB">
            <w:pPr>
              <w:rPr>
                <w:b/>
              </w:rPr>
            </w:pPr>
            <w:r w:rsidRPr="002A7E16">
              <w:rPr>
                <w:b/>
              </w:rPr>
              <w:t>DATE</w:t>
            </w:r>
          </w:p>
        </w:tc>
        <w:tc>
          <w:tcPr>
            <w:tcW w:w="1885" w:type="dxa"/>
          </w:tcPr>
          <w:p w:rsidR="002A7E16" w:rsidRPr="002A7E16" w:rsidRDefault="002A7E16" w:rsidP="00C506EB">
            <w:pPr>
              <w:rPr>
                <w:b/>
              </w:rPr>
            </w:pPr>
            <w:r>
              <w:rPr>
                <w:b/>
              </w:rPr>
              <w:t>PARTIES INVOLVED</w:t>
            </w:r>
          </w:p>
        </w:tc>
        <w:tc>
          <w:tcPr>
            <w:tcW w:w="1885" w:type="dxa"/>
          </w:tcPr>
          <w:p w:rsidR="002A7E16" w:rsidRPr="002A7E16" w:rsidRDefault="002A7E16" w:rsidP="00C506EB">
            <w:pPr>
              <w:rPr>
                <w:b/>
              </w:rPr>
            </w:pPr>
            <w:r w:rsidRPr="002A7E16">
              <w:rPr>
                <w:b/>
              </w:rPr>
              <w:t>BACKGROUND</w:t>
            </w:r>
          </w:p>
        </w:tc>
        <w:tc>
          <w:tcPr>
            <w:tcW w:w="1886" w:type="dxa"/>
          </w:tcPr>
          <w:p w:rsidR="002A7E16" w:rsidRPr="002A7E16" w:rsidRDefault="002A7E16" w:rsidP="00C506EB">
            <w:pPr>
              <w:rPr>
                <w:b/>
              </w:rPr>
            </w:pPr>
            <w:r w:rsidRPr="002A7E16">
              <w:rPr>
                <w:b/>
              </w:rPr>
              <w:t>ISSUE</w:t>
            </w:r>
          </w:p>
        </w:tc>
        <w:tc>
          <w:tcPr>
            <w:tcW w:w="1886" w:type="dxa"/>
          </w:tcPr>
          <w:p w:rsidR="002A7E16" w:rsidRPr="002A7E16" w:rsidRDefault="002A7E16" w:rsidP="00C506EB">
            <w:pPr>
              <w:rPr>
                <w:b/>
              </w:rPr>
            </w:pPr>
            <w:r w:rsidRPr="002A7E16">
              <w:rPr>
                <w:b/>
              </w:rPr>
              <w:t>OUTCOMES</w:t>
            </w:r>
          </w:p>
        </w:tc>
      </w:tr>
      <w:tr w:rsidR="002A7E16" w:rsidTr="002A7E16">
        <w:trPr>
          <w:trHeight w:val="2429"/>
        </w:trPr>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6" w:type="dxa"/>
          </w:tcPr>
          <w:p w:rsidR="002A7E16" w:rsidRDefault="002A7E16" w:rsidP="00C506EB">
            <w:pPr>
              <w:rPr>
                <w:u w:val="single"/>
              </w:rPr>
            </w:pPr>
          </w:p>
        </w:tc>
        <w:tc>
          <w:tcPr>
            <w:tcW w:w="1886" w:type="dxa"/>
          </w:tcPr>
          <w:p w:rsidR="002A7E16" w:rsidRDefault="002A7E16" w:rsidP="00C506EB">
            <w:pPr>
              <w:rPr>
                <w:u w:val="single"/>
              </w:rPr>
            </w:pPr>
          </w:p>
        </w:tc>
      </w:tr>
      <w:tr w:rsidR="002A7E16" w:rsidTr="002A7E16">
        <w:trPr>
          <w:trHeight w:val="2288"/>
        </w:trPr>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6" w:type="dxa"/>
          </w:tcPr>
          <w:p w:rsidR="002A7E16" w:rsidRDefault="002A7E16" w:rsidP="00C506EB">
            <w:pPr>
              <w:rPr>
                <w:u w:val="single"/>
              </w:rPr>
            </w:pPr>
          </w:p>
        </w:tc>
        <w:tc>
          <w:tcPr>
            <w:tcW w:w="1886" w:type="dxa"/>
          </w:tcPr>
          <w:p w:rsidR="002A7E16" w:rsidRDefault="002A7E16" w:rsidP="00C506EB">
            <w:pPr>
              <w:rPr>
                <w:u w:val="single"/>
              </w:rPr>
            </w:pPr>
          </w:p>
        </w:tc>
      </w:tr>
      <w:tr w:rsidR="002A7E16" w:rsidTr="002A7E16">
        <w:trPr>
          <w:trHeight w:val="2429"/>
        </w:trPr>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6" w:type="dxa"/>
          </w:tcPr>
          <w:p w:rsidR="002A7E16" w:rsidRDefault="002A7E16" w:rsidP="00C506EB">
            <w:pPr>
              <w:rPr>
                <w:u w:val="single"/>
              </w:rPr>
            </w:pPr>
          </w:p>
        </w:tc>
        <w:tc>
          <w:tcPr>
            <w:tcW w:w="1886" w:type="dxa"/>
          </w:tcPr>
          <w:p w:rsidR="002A7E16" w:rsidRDefault="002A7E16" w:rsidP="00C506EB">
            <w:pPr>
              <w:rPr>
                <w:u w:val="single"/>
              </w:rPr>
            </w:pPr>
          </w:p>
        </w:tc>
      </w:tr>
      <w:tr w:rsidR="002A7E16" w:rsidTr="002A7E16">
        <w:trPr>
          <w:trHeight w:val="2429"/>
        </w:trPr>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5" w:type="dxa"/>
          </w:tcPr>
          <w:p w:rsidR="002A7E16" w:rsidRDefault="002A7E16" w:rsidP="00C506EB">
            <w:pPr>
              <w:rPr>
                <w:u w:val="single"/>
              </w:rPr>
            </w:pPr>
          </w:p>
        </w:tc>
        <w:tc>
          <w:tcPr>
            <w:tcW w:w="1886" w:type="dxa"/>
          </w:tcPr>
          <w:p w:rsidR="002A7E16" w:rsidRDefault="002A7E16" w:rsidP="00C506EB">
            <w:pPr>
              <w:rPr>
                <w:u w:val="single"/>
              </w:rPr>
            </w:pPr>
          </w:p>
        </w:tc>
        <w:tc>
          <w:tcPr>
            <w:tcW w:w="1886" w:type="dxa"/>
          </w:tcPr>
          <w:p w:rsidR="002A7E16" w:rsidRDefault="002A7E16" w:rsidP="00C506EB">
            <w:pPr>
              <w:rPr>
                <w:u w:val="single"/>
              </w:rPr>
            </w:pPr>
          </w:p>
        </w:tc>
      </w:tr>
    </w:tbl>
    <w:p w:rsidR="002A7E16" w:rsidRPr="00DF16E1" w:rsidRDefault="002A7E16" w:rsidP="00C506EB">
      <w:pPr>
        <w:rPr>
          <w:u w:val="single"/>
        </w:rPr>
      </w:pPr>
    </w:p>
    <w:sectPr w:rsidR="002A7E16" w:rsidRPr="00DF1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1B"/>
    <w:multiLevelType w:val="multilevel"/>
    <w:tmpl w:val="02F6E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381C22"/>
    <w:multiLevelType w:val="multilevel"/>
    <w:tmpl w:val="1A9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31678"/>
    <w:multiLevelType w:val="multilevel"/>
    <w:tmpl w:val="749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665D1"/>
    <w:multiLevelType w:val="multilevel"/>
    <w:tmpl w:val="B67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DA78F1"/>
    <w:multiLevelType w:val="multilevel"/>
    <w:tmpl w:val="02F6E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2247E2"/>
    <w:multiLevelType w:val="multilevel"/>
    <w:tmpl w:val="FF8C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36B1C"/>
    <w:multiLevelType w:val="multilevel"/>
    <w:tmpl w:val="D47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61EB3"/>
    <w:multiLevelType w:val="multilevel"/>
    <w:tmpl w:val="0706B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325B2A"/>
    <w:multiLevelType w:val="multilevel"/>
    <w:tmpl w:val="4F6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A03AB"/>
    <w:multiLevelType w:val="hybridMultilevel"/>
    <w:tmpl w:val="E68E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81027"/>
    <w:multiLevelType w:val="hybridMultilevel"/>
    <w:tmpl w:val="9984C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7F57C36"/>
    <w:multiLevelType w:val="hybridMultilevel"/>
    <w:tmpl w:val="FE583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D4E2113"/>
    <w:multiLevelType w:val="multilevel"/>
    <w:tmpl w:val="3BDC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702036"/>
    <w:multiLevelType w:val="multilevel"/>
    <w:tmpl w:val="D38E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362459F"/>
    <w:multiLevelType w:val="multilevel"/>
    <w:tmpl w:val="3DBA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C673D"/>
    <w:multiLevelType w:val="multilevel"/>
    <w:tmpl w:val="AFC8F9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F30672"/>
    <w:multiLevelType w:val="multilevel"/>
    <w:tmpl w:val="E04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E04B3"/>
    <w:multiLevelType w:val="hybridMultilevel"/>
    <w:tmpl w:val="C730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60894"/>
    <w:multiLevelType w:val="multilevel"/>
    <w:tmpl w:val="97620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4A5D85"/>
    <w:multiLevelType w:val="hybridMultilevel"/>
    <w:tmpl w:val="0EF42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6D4CA7"/>
    <w:multiLevelType w:val="multilevel"/>
    <w:tmpl w:val="E95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5300"/>
    <w:multiLevelType w:val="multilevel"/>
    <w:tmpl w:val="02F6E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CC55BA3"/>
    <w:multiLevelType w:val="multilevel"/>
    <w:tmpl w:val="7B60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6"/>
  </w:num>
  <w:num w:numId="4">
    <w:abstractNumId w:val="5"/>
  </w:num>
  <w:num w:numId="5">
    <w:abstractNumId w:val="8"/>
  </w:num>
  <w:num w:numId="6">
    <w:abstractNumId w:val="4"/>
  </w:num>
  <w:num w:numId="7">
    <w:abstractNumId w:val="18"/>
  </w:num>
  <w:num w:numId="8">
    <w:abstractNumId w:val="15"/>
  </w:num>
  <w:num w:numId="9">
    <w:abstractNumId w:val="7"/>
  </w:num>
  <w:num w:numId="10">
    <w:abstractNumId w:val="20"/>
  </w:num>
  <w:num w:numId="11">
    <w:abstractNumId w:val="1"/>
  </w:num>
  <w:num w:numId="12">
    <w:abstractNumId w:val="2"/>
  </w:num>
  <w:num w:numId="13">
    <w:abstractNumId w:val="14"/>
  </w:num>
  <w:num w:numId="14">
    <w:abstractNumId w:val="16"/>
  </w:num>
  <w:num w:numId="15">
    <w:abstractNumId w:val="0"/>
  </w:num>
  <w:num w:numId="16">
    <w:abstractNumId w:val="21"/>
  </w:num>
  <w:num w:numId="17">
    <w:abstractNumId w:val="10"/>
  </w:num>
  <w:num w:numId="18">
    <w:abstractNumId w:val="11"/>
  </w:num>
  <w:num w:numId="19">
    <w:abstractNumId w:val="13"/>
  </w:num>
  <w:num w:numId="20">
    <w:abstractNumId w:val="3"/>
  </w:num>
  <w:num w:numId="21">
    <w:abstractNumId w:val="19"/>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E1"/>
    <w:rsid w:val="00082057"/>
    <w:rsid w:val="001C75C9"/>
    <w:rsid w:val="001D1CBB"/>
    <w:rsid w:val="0020003C"/>
    <w:rsid w:val="002609E4"/>
    <w:rsid w:val="002A7E16"/>
    <w:rsid w:val="003272A4"/>
    <w:rsid w:val="005639DC"/>
    <w:rsid w:val="00571F15"/>
    <w:rsid w:val="005D40AA"/>
    <w:rsid w:val="005E6396"/>
    <w:rsid w:val="009F439D"/>
    <w:rsid w:val="00A2482C"/>
    <w:rsid w:val="00C506EB"/>
    <w:rsid w:val="00CC41A6"/>
    <w:rsid w:val="00D3319E"/>
    <w:rsid w:val="00D7037D"/>
    <w:rsid w:val="00DF16E1"/>
    <w:rsid w:val="00E02370"/>
    <w:rsid w:val="00E06E5F"/>
    <w:rsid w:val="00E668FC"/>
    <w:rsid w:val="00EC6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BC7F"/>
  <w15:docId w15:val="{2637A967-F2E3-459C-B0F0-347940BA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9D"/>
    <w:pPr>
      <w:ind w:left="720"/>
      <w:contextualSpacing/>
    </w:pPr>
  </w:style>
  <w:style w:type="table" w:styleId="TableGrid">
    <w:name w:val="Table Grid"/>
    <w:basedOn w:val="TableNormal"/>
    <w:uiPriority w:val="59"/>
    <w:rsid w:val="002A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asbestossafety.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9F0214BE.dotm</Template>
  <TotalTime>137</TotalTime>
  <Pages>7</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GORFORD,Alexandra</dc:creator>
  <cp:lastModifiedBy>GORFORD,Alexandra</cp:lastModifiedBy>
  <cp:revision>7</cp:revision>
  <dcterms:created xsi:type="dcterms:W3CDTF">2017-07-27T22:39:00Z</dcterms:created>
  <dcterms:modified xsi:type="dcterms:W3CDTF">2018-01-16T00:06:00Z</dcterms:modified>
</cp:coreProperties>
</file>